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07" w:rsidRDefault="00A16307" w:rsidP="00A16307">
      <w:pPr>
        <w:tabs>
          <w:tab w:val="left" w:pos="8080"/>
        </w:tabs>
        <w:spacing w:line="240" w:lineRule="exact"/>
        <w:jc w:val="right"/>
        <w:rPr>
          <w:sz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</w:t>
      </w:r>
      <w:r w:rsidRPr="0012074A">
        <w:rPr>
          <w:sz w:val="24"/>
        </w:rPr>
        <w:t>Проект вносится Главой города Перми</w:t>
      </w:r>
    </w:p>
    <w:p w:rsidR="00A16307" w:rsidRDefault="00A16307" w:rsidP="00A16307">
      <w:pPr>
        <w:tabs>
          <w:tab w:val="left" w:pos="8080"/>
        </w:tabs>
        <w:spacing w:line="240" w:lineRule="exact"/>
        <w:jc w:val="right"/>
        <w:rPr>
          <w:sz w:val="24"/>
        </w:rPr>
      </w:pPr>
    </w:p>
    <w:p w:rsidR="00A16307" w:rsidRPr="0012074A" w:rsidRDefault="00A16307" w:rsidP="00A16307">
      <w:pPr>
        <w:tabs>
          <w:tab w:val="left" w:pos="8080"/>
        </w:tabs>
        <w:jc w:val="right"/>
        <w:rPr>
          <w:sz w:val="24"/>
        </w:rPr>
      </w:pPr>
    </w:p>
    <w:p w:rsidR="00A16307" w:rsidRDefault="00A16307" w:rsidP="00A16307">
      <w:pPr>
        <w:tabs>
          <w:tab w:val="left" w:pos="3855"/>
        </w:tabs>
        <w:ind w:left="5670"/>
        <w:contextualSpacing/>
        <w:rPr>
          <w:sz w:val="28"/>
          <w:szCs w:val="28"/>
        </w:rPr>
      </w:pPr>
    </w:p>
    <w:p w:rsidR="00A16307" w:rsidRDefault="00A16307" w:rsidP="00A16307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07" w:rsidRPr="00DF5925" w:rsidRDefault="00A16307" w:rsidP="00A16307">
      <w:pPr>
        <w:pStyle w:val="1"/>
        <w:spacing w:after="0"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F5925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:rsidR="00A16307" w:rsidRPr="0012074A" w:rsidRDefault="00A16307" w:rsidP="00A16307">
      <w:pPr>
        <w:widowControl w:val="0"/>
        <w:spacing w:after="960"/>
        <w:jc w:val="center"/>
        <w:rPr>
          <w:snapToGrid w:val="0"/>
          <w:sz w:val="32"/>
        </w:rPr>
      </w:pPr>
      <w:r w:rsidRPr="0012074A">
        <w:rPr>
          <w:snapToGrid w:val="0"/>
          <w:sz w:val="32"/>
        </w:rPr>
        <w:t>Р Е Ш Е Н И Е</w:t>
      </w:r>
    </w:p>
    <w:p w:rsidR="00A16307" w:rsidRPr="0012074A" w:rsidRDefault="00A16307" w:rsidP="00A16307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12074A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A16307" w:rsidRPr="0012074A" w:rsidRDefault="00A16307" w:rsidP="00A16307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 w:rsidRPr="0012074A"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A16307" w:rsidRDefault="00A16307" w:rsidP="00A16307">
      <w:pPr>
        <w:suppressAutoHyphens/>
        <w:spacing w:line="240" w:lineRule="exact"/>
        <w:jc w:val="center"/>
        <w:rPr>
          <w:sz w:val="28"/>
          <w:szCs w:val="28"/>
        </w:rPr>
      </w:pPr>
      <w:r w:rsidRPr="0012074A">
        <w:rPr>
          <w:b/>
          <w:sz w:val="28"/>
          <w:szCs w:val="28"/>
          <w:lang w:eastAsia="ar-SA"/>
        </w:rPr>
        <w:t>от 15.12.2020 № 277</w:t>
      </w:r>
      <w:r>
        <w:rPr>
          <w:b/>
          <w:sz w:val="28"/>
          <w:szCs w:val="28"/>
          <w:lang w:eastAsia="ar-SA"/>
        </w:rPr>
        <w:t xml:space="preserve">, </w:t>
      </w:r>
      <w:r w:rsidRPr="00772DC3">
        <w:rPr>
          <w:b/>
          <w:sz w:val="28"/>
          <w:szCs w:val="28"/>
          <w:lang w:eastAsia="ar-SA"/>
        </w:rPr>
        <w:t xml:space="preserve">в </w:t>
      </w:r>
      <w:r>
        <w:rPr>
          <w:b/>
          <w:sz w:val="28"/>
          <w:szCs w:val="28"/>
          <w:lang w:eastAsia="ar-SA"/>
        </w:rPr>
        <w:t xml:space="preserve">части установления требований к </w:t>
      </w:r>
      <w:r w:rsidRPr="00772DC3">
        <w:rPr>
          <w:b/>
          <w:sz w:val="28"/>
          <w:szCs w:val="28"/>
        </w:rPr>
        <w:t>организованны</w:t>
      </w:r>
      <w:r>
        <w:rPr>
          <w:b/>
          <w:sz w:val="28"/>
          <w:szCs w:val="28"/>
        </w:rPr>
        <w:t>м</w:t>
      </w:r>
      <w:r w:rsidRPr="00772DC3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>ам</w:t>
      </w:r>
      <w:r w:rsidRPr="00772DC3">
        <w:rPr>
          <w:b/>
          <w:sz w:val="28"/>
          <w:szCs w:val="28"/>
        </w:rPr>
        <w:t xml:space="preserve"> отдыха у воды</w:t>
      </w:r>
      <w:r>
        <w:rPr>
          <w:b/>
          <w:sz w:val="28"/>
          <w:szCs w:val="28"/>
        </w:rPr>
        <w:t xml:space="preserve"> 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307" w:rsidRPr="0012074A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74A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sz w:val="28"/>
          <w:szCs w:val="28"/>
        </w:rPr>
        <w:br/>
      </w:r>
      <w:r w:rsidRPr="0012074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A16307" w:rsidRPr="0012074A" w:rsidRDefault="00A16307" w:rsidP="00A16307">
      <w:pPr>
        <w:spacing w:before="240" w:after="240"/>
        <w:jc w:val="center"/>
        <w:rPr>
          <w:spacing w:val="50"/>
          <w:sz w:val="28"/>
          <w:szCs w:val="28"/>
        </w:rPr>
      </w:pPr>
      <w:r w:rsidRPr="0012074A">
        <w:rPr>
          <w:sz w:val="28"/>
          <w:szCs w:val="28"/>
        </w:rPr>
        <w:t xml:space="preserve">Пермская городская Дума </w:t>
      </w:r>
      <w:r w:rsidRPr="0012074A">
        <w:rPr>
          <w:b/>
          <w:bCs/>
          <w:sz w:val="28"/>
          <w:szCs w:val="28"/>
        </w:rPr>
        <w:t>р е ш и л а</w:t>
      </w:r>
      <w:r w:rsidRPr="0012074A">
        <w:rPr>
          <w:b/>
          <w:spacing w:val="50"/>
          <w:sz w:val="28"/>
          <w:szCs w:val="28"/>
        </w:rPr>
        <w:t>: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074A">
        <w:rPr>
          <w:sz w:val="28"/>
          <w:szCs w:val="28"/>
        </w:rPr>
        <w:t xml:space="preserve">Внести в </w:t>
      </w:r>
      <w:hyperlink r:id="rId6" w:history="1">
        <w:r w:rsidRPr="0012074A">
          <w:rPr>
            <w:sz w:val="28"/>
            <w:szCs w:val="28"/>
          </w:rPr>
          <w:t>Правила</w:t>
        </w:r>
      </w:hyperlink>
      <w:r w:rsidRPr="0012074A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277 (в редакции решений Пермской городской Думы от 24.02.2021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40, от 27.04.2021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102, </w:t>
      </w:r>
      <w:r>
        <w:rPr>
          <w:sz w:val="28"/>
          <w:szCs w:val="28"/>
        </w:rPr>
        <w:br/>
      </w:r>
      <w:r w:rsidRPr="0012074A">
        <w:rPr>
          <w:sz w:val="28"/>
          <w:szCs w:val="28"/>
        </w:rPr>
        <w:t xml:space="preserve">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181, 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182, от 21.12.2021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307</w:t>
      </w:r>
      <w:r w:rsidRPr="00921961">
        <w:rPr>
          <w:sz w:val="28"/>
          <w:szCs w:val="28"/>
        </w:rPr>
        <w:t xml:space="preserve">, от 26.04.2022 </w:t>
      </w:r>
      <w:r w:rsidRPr="00921961">
        <w:rPr>
          <w:sz w:val="28"/>
          <w:szCs w:val="28"/>
        </w:rPr>
        <w:br/>
      </w:r>
      <w:hyperlink r:id="rId7" w:history="1">
        <w:r>
          <w:rPr>
            <w:sz w:val="28"/>
            <w:szCs w:val="28"/>
          </w:rPr>
          <w:t>№</w:t>
        </w:r>
        <w:r w:rsidRPr="00E147EB">
          <w:rPr>
            <w:sz w:val="28"/>
            <w:szCs w:val="28"/>
          </w:rPr>
          <w:t xml:space="preserve"> 81</w:t>
        </w:r>
      </w:hyperlink>
      <w:r w:rsidRPr="00E147EB">
        <w:rPr>
          <w:sz w:val="28"/>
          <w:szCs w:val="28"/>
        </w:rPr>
        <w:t xml:space="preserve">, от 26.04.2022 </w:t>
      </w:r>
      <w:hyperlink r:id="rId8" w:history="1">
        <w:r>
          <w:rPr>
            <w:sz w:val="28"/>
            <w:szCs w:val="28"/>
          </w:rPr>
          <w:t>№</w:t>
        </w:r>
        <w:r w:rsidRPr="00E147EB">
          <w:rPr>
            <w:sz w:val="28"/>
            <w:szCs w:val="28"/>
          </w:rPr>
          <w:t xml:space="preserve"> 82</w:t>
        </w:r>
      </w:hyperlink>
      <w:r w:rsidRPr="0012074A">
        <w:rPr>
          <w:sz w:val="28"/>
          <w:szCs w:val="28"/>
        </w:rPr>
        <w:t>), изменения:</w:t>
      </w:r>
      <w:r>
        <w:rPr>
          <w:sz w:val="28"/>
          <w:szCs w:val="28"/>
        </w:rPr>
        <w:t xml:space="preserve"> 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дополнить подпункт 2.1.28 абзацем следующего содержания: 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«организованные места отдыха у воды; »; 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74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20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8.7 следующего содержания: </w:t>
      </w:r>
    </w:p>
    <w:p w:rsidR="00A16307" w:rsidRPr="00CF6A53" w:rsidRDefault="00A16307" w:rsidP="00A16307">
      <w:pPr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>«8.7. Требования к обустройству, размещению и внешнему виду основных объектов и элементов благоустройства организованных мест отдыха у воды установлены в приложении 15 к Правилам в соответствии со следующими зонами:</w:t>
      </w:r>
      <w:r>
        <w:rPr>
          <w:sz w:val="28"/>
          <w:szCs w:val="28"/>
        </w:rPr>
        <w:t xml:space="preserve"> </w:t>
      </w:r>
    </w:p>
    <w:p w:rsidR="00A16307" w:rsidRPr="00CF6A53" w:rsidRDefault="00A16307" w:rsidP="00A16307">
      <w:pPr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>основные функциональные зоны, которые выделены на территории организованного места отдыха у воды: входная зона, зона отдыха, зона обслуживания;</w:t>
      </w:r>
      <w:r>
        <w:rPr>
          <w:sz w:val="28"/>
          <w:szCs w:val="28"/>
        </w:rPr>
        <w:t xml:space="preserve"> </w:t>
      </w:r>
    </w:p>
    <w:p w:rsidR="00A16307" w:rsidRPr="00CF6A53" w:rsidRDefault="00A16307" w:rsidP="00A16307">
      <w:pPr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>дополнительные зоны, которые могут быть выделены на территории организованного места отдыха у воды: спортивная зона, детская зона.</w:t>
      </w:r>
      <w:r>
        <w:rPr>
          <w:sz w:val="28"/>
          <w:szCs w:val="28"/>
        </w:rPr>
        <w:t xml:space="preserve"> </w:t>
      </w:r>
    </w:p>
    <w:p w:rsidR="00A16307" w:rsidRDefault="00A16307" w:rsidP="00A1630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 w:rsidRPr="002F5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объектов и элементов благоустройства,</w:t>
      </w:r>
      <w:r w:rsidRPr="00B76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организованного места отдыха у воды могут быть размещены</w:t>
      </w:r>
      <w:r w:rsidRPr="003D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ополнительные элементы </w:t>
      </w:r>
      <w:r w:rsidRPr="00695D10">
        <w:rPr>
          <w:rFonts w:ascii="Times New Roman" w:hAnsi="Times New Roman" w:cs="Times New Roman"/>
          <w:sz w:val="28"/>
          <w:szCs w:val="28"/>
        </w:rPr>
        <w:t>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</w:t>
      </w:r>
      <w:r w:rsidRPr="00695D10">
        <w:rPr>
          <w:rFonts w:ascii="Times New Roman" w:hAnsi="Times New Roman" w:cs="Times New Roman"/>
          <w:sz w:val="28"/>
          <w:szCs w:val="28"/>
        </w:rPr>
        <w:t>организованных мест отдыха</w:t>
      </w:r>
      <w:r>
        <w:rPr>
          <w:rFonts w:ascii="Times New Roman" w:hAnsi="Times New Roman" w:cs="Times New Roman"/>
          <w:sz w:val="28"/>
          <w:szCs w:val="28"/>
        </w:rPr>
        <w:t xml:space="preserve"> у воды,</w:t>
      </w:r>
      <w:r w:rsidRPr="005E0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которых установлен в приложении 15 к Правилам.»;</w:t>
      </w:r>
    </w:p>
    <w:p w:rsidR="00A16307" w:rsidRDefault="00A16307" w:rsidP="00A1630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 пункт 9.1 дополнить абзацем следующего содержания:</w:t>
      </w:r>
    </w:p>
    <w:p w:rsidR="00A16307" w:rsidRDefault="00A16307" w:rsidP="00A1630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«элементы обустройства организованных мест отдыха у воды.»;</w:t>
      </w:r>
    </w:p>
    <w:p w:rsidR="00A16307" w:rsidRDefault="00A16307" w:rsidP="00A16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hyperlink r:id="rId9" w:history="1">
        <w:r w:rsidRPr="00487448">
          <w:rPr>
            <w:sz w:val="28"/>
            <w:szCs w:val="28"/>
          </w:rPr>
          <w:t>дополн</w:t>
        </w:r>
      </w:hyperlink>
      <w:r>
        <w:rPr>
          <w:sz w:val="28"/>
          <w:szCs w:val="28"/>
        </w:rPr>
        <w:t>ить</w:t>
      </w:r>
      <w:r w:rsidRPr="0012074A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 xml:space="preserve">15 «Требования к обустройству, размещению </w:t>
      </w:r>
      <w:r>
        <w:rPr>
          <w:sz w:val="28"/>
          <w:szCs w:val="28"/>
        </w:rPr>
        <w:br/>
        <w:t>и внешнему виду</w:t>
      </w:r>
      <w:r w:rsidRPr="005E0BC8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и элементов благоустройства</w:t>
      </w:r>
      <w:r w:rsidRPr="00E72A0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организованных мест отдыха у воды»</w:t>
      </w:r>
      <w:r w:rsidRPr="0012074A">
        <w:rPr>
          <w:sz w:val="28"/>
          <w:szCs w:val="28"/>
        </w:rPr>
        <w:t xml:space="preserve"> согласно </w:t>
      </w:r>
      <w:hyperlink r:id="rId10" w:history="1">
        <w:r w:rsidRPr="00F13AF3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к настоящему решению.</w:t>
      </w:r>
    </w:p>
    <w:p w:rsidR="00A16307" w:rsidRPr="00131D1C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D1C">
        <w:rPr>
          <w:sz w:val="28"/>
          <w:szCs w:val="28"/>
        </w:rPr>
        <w:t xml:space="preserve">В отношении объектов и элементов благоустройства организованных мест отдыха у воды, которые на день вступления в силу настоящего решения </w:t>
      </w:r>
      <w:r>
        <w:rPr>
          <w:sz w:val="28"/>
          <w:szCs w:val="28"/>
        </w:rPr>
        <w:br/>
      </w:r>
      <w:r w:rsidRPr="00131D1C">
        <w:rPr>
          <w:sz w:val="28"/>
          <w:szCs w:val="28"/>
        </w:rPr>
        <w:t>не соответствуют установленным настоящим решением требованиям, уполномоченные органы администрации города Перми в течение 12 месяцев со дня вступления в силу настоящего решения должны привести объекты и элементы благоустройства организованных мест отдыха у воды в соответствие установленным требованиям</w:t>
      </w:r>
      <w:r>
        <w:rPr>
          <w:sz w:val="28"/>
          <w:szCs w:val="28"/>
        </w:rPr>
        <w:t>.</w:t>
      </w:r>
    </w:p>
    <w:p w:rsidR="00A16307" w:rsidRPr="0012074A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74A">
        <w:rPr>
          <w:sz w:val="28"/>
          <w:szCs w:val="28"/>
        </w:rPr>
        <w:t xml:space="preserve">. Настоящее решение вступает в силу со дня его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12074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12074A">
        <w:rPr>
          <w:sz w:val="28"/>
          <w:szCs w:val="28"/>
        </w:rPr>
        <w:t>.</w:t>
      </w:r>
    </w:p>
    <w:p w:rsidR="00A16307" w:rsidRPr="0012074A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74A">
        <w:rPr>
          <w:sz w:val="28"/>
          <w:szCs w:val="28"/>
        </w:rPr>
        <w:t xml:space="preserve">. Опубликовать настоящее решение в печатном средстве массовой информации </w:t>
      </w:r>
      <w:r>
        <w:rPr>
          <w:sz w:val="28"/>
          <w:szCs w:val="28"/>
        </w:rPr>
        <w:t>«</w:t>
      </w:r>
      <w:r w:rsidRPr="0012074A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12074A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16307" w:rsidRDefault="00A16307" w:rsidP="00A16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74A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16307" w:rsidRPr="00211AE3" w:rsidRDefault="00A16307" w:rsidP="00A16307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11AE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11AE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</w:t>
      </w:r>
      <w:r w:rsidRPr="00211AE3">
        <w:rPr>
          <w:sz w:val="28"/>
          <w:szCs w:val="28"/>
        </w:rPr>
        <w:tab/>
      </w:r>
      <w:r w:rsidRPr="00211AE3">
        <w:rPr>
          <w:sz w:val="28"/>
          <w:szCs w:val="28"/>
        </w:rPr>
        <w:tab/>
      </w:r>
      <w:r w:rsidRPr="00211AE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211AE3">
        <w:rPr>
          <w:sz w:val="28"/>
          <w:szCs w:val="28"/>
        </w:rPr>
        <w:t>Д.В. Малютин</w:t>
      </w:r>
    </w:p>
    <w:p w:rsidR="00A16307" w:rsidRPr="00211AE3" w:rsidRDefault="00A16307" w:rsidP="00A16307">
      <w:pPr>
        <w:spacing w:before="720"/>
        <w:rPr>
          <w:sz w:val="28"/>
          <w:szCs w:val="28"/>
        </w:rPr>
      </w:pPr>
      <w:r w:rsidRPr="00211AE3">
        <w:rPr>
          <w:sz w:val="28"/>
          <w:szCs w:val="28"/>
        </w:rPr>
        <w:t>Глава го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Pr="00211AE3">
        <w:rPr>
          <w:sz w:val="28"/>
          <w:szCs w:val="28"/>
        </w:rPr>
        <w:t>А.Н. Дёмкин</w:t>
      </w:r>
    </w:p>
    <w:p w:rsidR="00A16307" w:rsidRPr="00211AE3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  <w:sectPr w:rsidR="00A16307" w:rsidSect="00751B17"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A16307" w:rsidRPr="00487448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  <w:r w:rsidRPr="00487448">
        <w:rPr>
          <w:sz w:val="28"/>
          <w:szCs w:val="28"/>
        </w:rPr>
        <w:lastRenderedPageBreak/>
        <w:t>ПРИЛОЖЕНИЕ</w:t>
      </w:r>
    </w:p>
    <w:p w:rsidR="00A16307" w:rsidRPr="00487448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  <w:r w:rsidRPr="00487448">
        <w:rPr>
          <w:sz w:val="28"/>
          <w:szCs w:val="28"/>
        </w:rPr>
        <w:t xml:space="preserve">к решению </w:t>
      </w:r>
    </w:p>
    <w:p w:rsidR="00A16307" w:rsidRPr="00487448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  <w:r w:rsidRPr="00487448">
        <w:rPr>
          <w:sz w:val="28"/>
          <w:szCs w:val="28"/>
        </w:rPr>
        <w:t>Пермской городской Думы</w:t>
      </w:r>
    </w:p>
    <w:p w:rsidR="00A16307" w:rsidRPr="00487448" w:rsidRDefault="00A16307" w:rsidP="00A16307">
      <w:pPr>
        <w:widowControl w:val="0"/>
        <w:tabs>
          <w:tab w:val="left" w:pos="6659"/>
        </w:tabs>
        <w:autoSpaceDE w:val="0"/>
        <w:autoSpaceDN w:val="0"/>
        <w:spacing w:line="240" w:lineRule="exact"/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A16307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</w:p>
    <w:p w:rsidR="00A16307" w:rsidRPr="00487448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</w:p>
    <w:p w:rsidR="00A16307" w:rsidRPr="00487448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  <w:r w:rsidRPr="00487448">
        <w:rPr>
          <w:sz w:val="28"/>
          <w:szCs w:val="28"/>
        </w:rPr>
        <w:t>ПРИЛОЖЕНИЕ 1</w:t>
      </w:r>
      <w:r>
        <w:rPr>
          <w:sz w:val="28"/>
          <w:szCs w:val="28"/>
        </w:rPr>
        <w:t>5</w:t>
      </w:r>
    </w:p>
    <w:p w:rsidR="00A16307" w:rsidRDefault="00A16307" w:rsidP="00A16307">
      <w:pPr>
        <w:suppressAutoHyphens/>
        <w:spacing w:line="240" w:lineRule="exact"/>
        <w:ind w:left="5528"/>
        <w:rPr>
          <w:sz w:val="28"/>
          <w:szCs w:val="28"/>
        </w:rPr>
      </w:pPr>
      <w:r w:rsidRPr="00487448">
        <w:rPr>
          <w:sz w:val="28"/>
          <w:szCs w:val="28"/>
        </w:rPr>
        <w:t>к Правилам благоустройства территории города Перми</w:t>
      </w: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Pr="00695D10" w:rsidRDefault="00A16307" w:rsidP="00A16307">
      <w:pPr>
        <w:suppressAutoHyphens/>
        <w:ind w:left="5528"/>
        <w:rPr>
          <w:sz w:val="28"/>
          <w:szCs w:val="28"/>
        </w:rPr>
      </w:pPr>
    </w:p>
    <w:p w:rsidR="00A16307" w:rsidRPr="00695D10" w:rsidRDefault="00A16307" w:rsidP="00A16307">
      <w:pPr>
        <w:spacing w:line="240" w:lineRule="exact"/>
        <w:jc w:val="center"/>
        <w:rPr>
          <w:b/>
          <w:sz w:val="28"/>
          <w:szCs w:val="28"/>
        </w:rPr>
      </w:pPr>
      <w:r w:rsidRPr="00695D10">
        <w:rPr>
          <w:b/>
          <w:sz w:val="28"/>
          <w:szCs w:val="28"/>
        </w:rPr>
        <w:t>ТРЕБОВАНИЯ</w:t>
      </w:r>
    </w:p>
    <w:p w:rsidR="00A16307" w:rsidRDefault="00A16307" w:rsidP="00A163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обустройству, размещению и</w:t>
      </w:r>
      <w:r w:rsidRPr="00695D10">
        <w:rPr>
          <w:b/>
          <w:sz w:val="28"/>
          <w:szCs w:val="28"/>
        </w:rPr>
        <w:t xml:space="preserve"> внешнему виду объект</w:t>
      </w:r>
      <w:r>
        <w:rPr>
          <w:b/>
          <w:sz w:val="28"/>
          <w:szCs w:val="28"/>
        </w:rPr>
        <w:t xml:space="preserve">ов и элементов </w:t>
      </w:r>
    </w:p>
    <w:p w:rsidR="00A16307" w:rsidRDefault="00A16307" w:rsidP="00A163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</w:t>
      </w:r>
      <w:r w:rsidRPr="00695D10">
        <w:rPr>
          <w:b/>
          <w:sz w:val="28"/>
          <w:szCs w:val="28"/>
        </w:rPr>
        <w:t>организованных мест отдыха у воды</w:t>
      </w:r>
    </w:p>
    <w:p w:rsidR="00A16307" w:rsidRDefault="00A16307" w:rsidP="00A16307">
      <w:pPr>
        <w:spacing w:line="240" w:lineRule="exact"/>
        <w:jc w:val="center"/>
        <w:rPr>
          <w:b/>
          <w:sz w:val="28"/>
          <w:szCs w:val="28"/>
        </w:rPr>
      </w:pPr>
    </w:p>
    <w:p w:rsidR="00A16307" w:rsidRPr="00695D10" w:rsidRDefault="00A16307" w:rsidP="00A16307">
      <w:pPr>
        <w:spacing w:line="240" w:lineRule="exact"/>
        <w:jc w:val="center"/>
        <w:rPr>
          <w:b/>
          <w:sz w:val="28"/>
          <w:szCs w:val="28"/>
        </w:rPr>
      </w:pPr>
    </w:p>
    <w:p w:rsidR="00A16307" w:rsidRDefault="00A16307" w:rsidP="00A16307">
      <w:pPr>
        <w:spacing w:line="240" w:lineRule="exact"/>
        <w:jc w:val="center"/>
        <w:rPr>
          <w:b/>
          <w:sz w:val="28"/>
          <w:szCs w:val="28"/>
        </w:rPr>
      </w:pPr>
      <w:r w:rsidRPr="00695D1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95D10">
        <w:rPr>
          <w:b/>
          <w:sz w:val="28"/>
          <w:szCs w:val="28"/>
        </w:rPr>
        <w:t>Требования к обустройству</w:t>
      </w:r>
      <w:r>
        <w:rPr>
          <w:b/>
          <w:sz w:val="28"/>
          <w:szCs w:val="28"/>
        </w:rPr>
        <w:t xml:space="preserve"> и размещению</w:t>
      </w:r>
      <w:r w:rsidRPr="007E4D16">
        <w:rPr>
          <w:b/>
          <w:sz w:val="28"/>
          <w:szCs w:val="28"/>
        </w:rPr>
        <w:t xml:space="preserve"> </w:t>
      </w:r>
      <w:r w:rsidRPr="00695D10">
        <w:rPr>
          <w:b/>
          <w:sz w:val="28"/>
          <w:szCs w:val="28"/>
        </w:rPr>
        <w:t>объектов и элементов</w:t>
      </w:r>
    </w:p>
    <w:p w:rsidR="00A16307" w:rsidRPr="00695D10" w:rsidRDefault="00A16307" w:rsidP="00A16307">
      <w:pPr>
        <w:spacing w:line="240" w:lineRule="exact"/>
        <w:jc w:val="center"/>
        <w:rPr>
          <w:b/>
          <w:sz w:val="28"/>
          <w:szCs w:val="28"/>
        </w:rPr>
      </w:pPr>
      <w:r w:rsidRPr="00695D10">
        <w:rPr>
          <w:b/>
          <w:sz w:val="28"/>
          <w:szCs w:val="28"/>
        </w:rPr>
        <w:t>бла</w:t>
      </w:r>
      <w:r>
        <w:rPr>
          <w:b/>
          <w:sz w:val="28"/>
          <w:szCs w:val="28"/>
        </w:rPr>
        <w:t>гоустройства организованных мест</w:t>
      </w:r>
      <w:r w:rsidRPr="00695D10">
        <w:rPr>
          <w:b/>
          <w:sz w:val="28"/>
          <w:szCs w:val="28"/>
        </w:rPr>
        <w:t xml:space="preserve"> отдыха у воды</w:t>
      </w:r>
    </w:p>
    <w:p w:rsidR="00A16307" w:rsidRPr="00695D10" w:rsidRDefault="00A16307" w:rsidP="00A16307">
      <w:pPr>
        <w:ind w:firstLine="709"/>
        <w:jc w:val="center"/>
        <w:rPr>
          <w:sz w:val="28"/>
          <w:szCs w:val="28"/>
        </w:rPr>
      </w:pP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F5747">
        <w:rPr>
          <w:sz w:val="28"/>
          <w:szCs w:val="28"/>
        </w:rPr>
        <w:t xml:space="preserve"> </w:t>
      </w:r>
      <w:r w:rsidRPr="00695D10">
        <w:rPr>
          <w:sz w:val="28"/>
          <w:szCs w:val="28"/>
        </w:rPr>
        <w:t>организованных местах отдыха</w:t>
      </w:r>
      <w:r>
        <w:rPr>
          <w:sz w:val="28"/>
          <w:szCs w:val="28"/>
        </w:rPr>
        <w:t xml:space="preserve"> у воды устанавливаются следующие основные элементы и объекты </w:t>
      </w:r>
      <w:r w:rsidRPr="00695D10">
        <w:rPr>
          <w:sz w:val="28"/>
          <w:szCs w:val="28"/>
        </w:rPr>
        <w:t>благоустройства</w:t>
      </w:r>
      <w:r>
        <w:rPr>
          <w:sz w:val="28"/>
          <w:szCs w:val="28"/>
        </w:rPr>
        <w:t>: покрытие, дорожки, информационные стенды,</w:t>
      </w:r>
      <w:r w:rsidRPr="005F51A1">
        <w:rPr>
          <w:sz w:val="28"/>
          <w:szCs w:val="28"/>
        </w:rPr>
        <w:t xml:space="preserve"> </w:t>
      </w:r>
      <w:r w:rsidRPr="003D2938">
        <w:rPr>
          <w:sz w:val="28"/>
          <w:szCs w:val="28"/>
        </w:rPr>
        <w:t>указатели</w:t>
      </w:r>
      <w:r>
        <w:rPr>
          <w:sz w:val="28"/>
          <w:szCs w:val="28"/>
        </w:rPr>
        <w:t>, туалеты,</w:t>
      </w:r>
      <w:r w:rsidRPr="005F51A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кабинки для переодевания, урны, места (площадки) накопления отходов,</w:t>
      </w:r>
      <w:r w:rsidRPr="005F51A1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для принятия солнечных/воздушных ванн (</w:t>
      </w:r>
      <w:r w:rsidRPr="003D2938">
        <w:rPr>
          <w:sz w:val="28"/>
          <w:szCs w:val="28"/>
        </w:rPr>
        <w:t>шезлонги</w:t>
      </w:r>
      <w:r>
        <w:rPr>
          <w:sz w:val="28"/>
          <w:szCs w:val="28"/>
        </w:rPr>
        <w:t>, лежаки), элементы защиты от прямых солнечных лучей (</w:t>
      </w:r>
      <w:r w:rsidRPr="003D2938">
        <w:rPr>
          <w:sz w:val="28"/>
          <w:szCs w:val="28"/>
        </w:rPr>
        <w:t xml:space="preserve">зонты, </w:t>
      </w:r>
      <w:r>
        <w:rPr>
          <w:sz w:val="28"/>
          <w:szCs w:val="28"/>
        </w:rPr>
        <w:t>теневые навесы), скамейки для отдыха, спасательный пост</w:t>
      </w:r>
      <w:r w:rsidRPr="003D2938">
        <w:rPr>
          <w:sz w:val="28"/>
          <w:szCs w:val="28"/>
        </w:rPr>
        <w:t>,</w:t>
      </w:r>
      <w:r>
        <w:rPr>
          <w:sz w:val="28"/>
          <w:szCs w:val="28"/>
        </w:rPr>
        <w:t xml:space="preserve"> пост охраны,</w:t>
      </w:r>
      <w:r w:rsidRPr="005F51A1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</w:t>
      </w:r>
      <w:r w:rsidRPr="003D2938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ощадка, детская </w:t>
      </w:r>
      <w:r w:rsidRPr="00F967A9">
        <w:rPr>
          <w:sz w:val="28"/>
          <w:szCs w:val="28"/>
        </w:rPr>
        <w:t xml:space="preserve">игровая </w:t>
      </w:r>
      <w:r>
        <w:rPr>
          <w:sz w:val="28"/>
          <w:szCs w:val="28"/>
        </w:rPr>
        <w:t xml:space="preserve">площадка, </w:t>
      </w:r>
      <w:r w:rsidRPr="000D34D2">
        <w:rPr>
          <w:sz w:val="28"/>
          <w:szCs w:val="28"/>
        </w:rPr>
        <w:t>стационарные установки наружного освещения</w:t>
      </w:r>
      <w:r>
        <w:rPr>
          <w:sz w:val="28"/>
          <w:szCs w:val="28"/>
        </w:rPr>
        <w:t>.</w:t>
      </w:r>
    </w:p>
    <w:p w:rsidR="00A16307" w:rsidRDefault="00A16307" w:rsidP="00A16307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дополнительным элементам </w:t>
      </w:r>
      <w:r w:rsidRPr="00695D10">
        <w:rPr>
          <w:rFonts w:ascii="Times New Roman" w:hAnsi="Times New Roman" w:cs="Times New Roman"/>
          <w:sz w:val="28"/>
          <w:szCs w:val="28"/>
        </w:rPr>
        <w:t>благоустройства на организованных местах отдыха</w:t>
      </w:r>
      <w:r>
        <w:rPr>
          <w:rFonts w:ascii="Times New Roman" w:hAnsi="Times New Roman" w:cs="Times New Roman"/>
          <w:sz w:val="28"/>
          <w:szCs w:val="28"/>
        </w:rPr>
        <w:t xml:space="preserve"> у воды относятся:</w:t>
      </w:r>
      <w:r w:rsidRPr="007E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беседки, арт-объекты,</w:t>
      </w:r>
      <w:r w:rsidRPr="00131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элементы озеленения.</w:t>
      </w:r>
    </w:p>
    <w:p w:rsidR="00A16307" w:rsidRDefault="00A16307" w:rsidP="00A16307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входной зоне</w:t>
      </w:r>
      <w:r w:rsidRPr="00080016">
        <w:rPr>
          <w:rFonts w:ascii="Times New Roman" w:hAnsi="Times New Roman"/>
          <w:sz w:val="28"/>
          <w:szCs w:val="28"/>
        </w:rPr>
        <w:t xml:space="preserve"> </w:t>
      </w:r>
      <w:r w:rsidRPr="00695D10">
        <w:rPr>
          <w:rFonts w:ascii="Times New Roman" w:hAnsi="Times New Roman"/>
          <w:sz w:val="28"/>
          <w:szCs w:val="28"/>
        </w:rPr>
        <w:t>организованн</w:t>
      </w:r>
      <w:r>
        <w:rPr>
          <w:rFonts w:ascii="Times New Roman" w:hAnsi="Times New Roman"/>
          <w:sz w:val="28"/>
          <w:szCs w:val="28"/>
        </w:rPr>
        <w:t>ого</w:t>
      </w:r>
      <w:r w:rsidRPr="00695D10">
        <w:rPr>
          <w:rFonts w:ascii="Times New Roman" w:hAnsi="Times New Roman"/>
          <w:sz w:val="28"/>
          <w:szCs w:val="28"/>
        </w:rPr>
        <w:t xml:space="preserve"> места отдыха</w:t>
      </w:r>
      <w:r>
        <w:rPr>
          <w:rFonts w:ascii="Times New Roman" w:hAnsi="Times New Roman"/>
          <w:sz w:val="28"/>
          <w:szCs w:val="28"/>
        </w:rPr>
        <w:t xml:space="preserve"> у воды размещаются следующие</w:t>
      </w:r>
      <w:r w:rsidRPr="0008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основные элементы и объекты </w:t>
      </w:r>
      <w:r w:rsidRPr="00695D10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: информационные стенды, пост охраны, </w:t>
      </w:r>
      <w:r w:rsidRPr="000D34D2">
        <w:rPr>
          <w:rFonts w:ascii="Times New Roman" w:hAnsi="Times New Roman"/>
          <w:sz w:val="28"/>
          <w:szCs w:val="28"/>
        </w:rPr>
        <w:t>стационарные установки наружного освещения</w:t>
      </w:r>
      <w:r>
        <w:rPr>
          <w:rFonts w:ascii="Times New Roman" w:hAnsi="Times New Roman"/>
          <w:sz w:val="28"/>
          <w:szCs w:val="28"/>
        </w:rPr>
        <w:t>, дорожки.</w:t>
      </w:r>
    </w:p>
    <w:p w:rsidR="00A16307" w:rsidRPr="00695D10" w:rsidRDefault="00A16307" w:rsidP="00A16307">
      <w:pPr>
        <w:ind w:firstLine="720"/>
        <w:jc w:val="both"/>
        <w:rPr>
          <w:sz w:val="28"/>
          <w:szCs w:val="28"/>
        </w:rPr>
      </w:pPr>
      <w:r w:rsidRPr="00695D10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695D10">
        <w:rPr>
          <w:sz w:val="28"/>
          <w:szCs w:val="28"/>
        </w:rPr>
        <w:t xml:space="preserve"> стенд долж</w:t>
      </w:r>
      <w:r>
        <w:rPr>
          <w:sz w:val="28"/>
          <w:szCs w:val="28"/>
        </w:rPr>
        <w:t>ен</w:t>
      </w:r>
      <w:r w:rsidRPr="00695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содержать </w:t>
      </w:r>
      <w:r w:rsidRPr="00695D10">
        <w:rPr>
          <w:sz w:val="28"/>
          <w:szCs w:val="28"/>
        </w:rPr>
        <w:t>информацию о режиме работы организованного места отдыха у воды, правила поведения на организованном мест</w:t>
      </w:r>
      <w:r>
        <w:rPr>
          <w:sz w:val="28"/>
          <w:szCs w:val="28"/>
        </w:rPr>
        <w:t>е</w:t>
      </w:r>
      <w:r w:rsidRPr="00695D10">
        <w:rPr>
          <w:sz w:val="28"/>
          <w:szCs w:val="28"/>
        </w:rPr>
        <w:t xml:space="preserve"> отдыха у воды,</w:t>
      </w:r>
      <w:r>
        <w:rPr>
          <w:sz w:val="28"/>
          <w:szCs w:val="28"/>
        </w:rPr>
        <w:t xml:space="preserve"> схему расположения функциональных зон</w:t>
      </w:r>
      <w:r w:rsidRPr="000A6B3C">
        <w:rPr>
          <w:sz w:val="28"/>
          <w:szCs w:val="28"/>
        </w:rPr>
        <w:t xml:space="preserve"> </w:t>
      </w:r>
      <w:r w:rsidRPr="00695D10">
        <w:rPr>
          <w:sz w:val="28"/>
          <w:szCs w:val="28"/>
        </w:rPr>
        <w:t>организованно</w:t>
      </w:r>
      <w:r>
        <w:rPr>
          <w:sz w:val="28"/>
          <w:szCs w:val="28"/>
        </w:rPr>
        <w:t>го</w:t>
      </w:r>
      <w:r w:rsidRPr="00695D1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695D10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,</w:t>
      </w:r>
      <w:r w:rsidRPr="00695D10">
        <w:rPr>
          <w:sz w:val="28"/>
          <w:szCs w:val="28"/>
        </w:rPr>
        <w:t xml:space="preserve"> сведен</w:t>
      </w:r>
      <w:r>
        <w:rPr>
          <w:sz w:val="28"/>
          <w:szCs w:val="28"/>
        </w:rPr>
        <w:t>и</w:t>
      </w:r>
      <w:r w:rsidRPr="00695D10">
        <w:rPr>
          <w:sz w:val="28"/>
          <w:szCs w:val="28"/>
        </w:rPr>
        <w:t>я о состоянии воды,</w:t>
      </w:r>
      <w:r>
        <w:rPr>
          <w:sz w:val="28"/>
          <w:szCs w:val="28"/>
        </w:rPr>
        <w:t xml:space="preserve"> грунта.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входной зоны до зоны отдыха обустраивается дорожка, имеющая твердое покрытие, шириной не менее 2 м.</w:t>
      </w:r>
    </w:p>
    <w:p w:rsidR="00A16307" w:rsidRPr="00695D10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Вдоль дорожки устанавливаются</w:t>
      </w:r>
      <w:r w:rsidRPr="000A6B3C">
        <w:rPr>
          <w:sz w:val="28"/>
          <w:szCs w:val="28"/>
        </w:rPr>
        <w:t xml:space="preserve"> </w:t>
      </w:r>
      <w:r w:rsidRPr="005C79EA">
        <w:rPr>
          <w:sz w:val="28"/>
          <w:szCs w:val="28"/>
        </w:rPr>
        <w:t>стационарные установки освещения</w:t>
      </w:r>
      <w:r>
        <w:rPr>
          <w:sz w:val="28"/>
          <w:szCs w:val="28"/>
        </w:rPr>
        <w:t xml:space="preserve"> высотой до 6 м.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Зона отдыха</w:t>
      </w:r>
      <w:r w:rsidRPr="000A6B3C">
        <w:rPr>
          <w:sz w:val="28"/>
          <w:szCs w:val="28"/>
        </w:rPr>
        <w:t xml:space="preserve"> </w:t>
      </w:r>
      <w:r w:rsidRPr="00695D10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695D10">
        <w:rPr>
          <w:sz w:val="28"/>
          <w:szCs w:val="28"/>
        </w:rPr>
        <w:t xml:space="preserve"> места отдыха</w:t>
      </w:r>
      <w:r>
        <w:rPr>
          <w:sz w:val="28"/>
          <w:szCs w:val="28"/>
        </w:rPr>
        <w:t xml:space="preserve"> у воды оснащается</w:t>
      </w:r>
      <w:r w:rsidRPr="000A6B3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80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элементами </w:t>
      </w:r>
      <w:r w:rsidRPr="00695D10">
        <w:rPr>
          <w:sz w:val="28"/>
          <w:szCs w:val="28"/>
        </w:rPr>
        <w:t>благоустройства</w:t>
      </w:r>
      <w:r>
        <w:rPr>
          <w:sz w:val="28"/>
          <w:szCs w:val="28"/>
        </w:rPr>
        <w:t>:</w:t>
      </w:r>
      <w:r w:rsidRPr="005C79EA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 для принятия солнечных/воздушных ванн (</w:t>
      </w:r>
      <w:r w:rsidRPr="003D2938">
        <w:rPr>
          <w:sz w:val="28"/>
          <w:szCs w:val="28"/>
        </w:rPr>
        <w:t>шезлонг</w:t>
      </w:r>
      <w:r>
        <w:rPr>
          <w:sz w:val="28"/>
          <w:szCs w:val="28"/>
        </w:rPr>
        <w:t>ами, лежаками), элементами защиты от прямых солнечных лучей (</w:t>
      </w:r>
      <w:r w:rsidRPr="003D2938">
        <w:rPr>
          <w:sz w:val="28"/>
          <w:szCs w:val="28"/>
        </w:rPr>
        <w:t>зонт</w:t>
      </w:r>
      <w:r>
        <w:rPr>
          <w:sz w:val="28"/>
          <w:szCs w:val="28"/>
        </w:rPr>
        <w:t>ами</w:t>
      </w:r>
      <w:r w:rsidRPr="003D2938">
        <w:rPr>
          <w:sz w:val="28"/>
          <w:szCs w:val="28"/>
        </w:rPr>
        <w:t xml:space="preserve">, </w:t>
      </w:r>
      <w:r>
        <w:rPr>
          <w:sz w:val="28"/>
          <w:szCs w:val="28"/>
        </w:rPr>
        <w:t>теневыми навесами), спасательным постом.</w:t>
      </w:r>
      <w:r w:rsidRPr="000A6B3C">
        <w:rPr>
          <w:sz w:val="28"/>
          <w:szCs w:val="28"/>
        </w:rPr>
        <w:t xml:space="preserve"> 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 w:rsidRPr="00396C56">
        <w:rPr>
          <w:sz w:val="28"/>
          <w:szCs w:val="28"/>
        </w:rPr>
        <w:lastRenderedPageBreak/>
        <w:t>Покрытие зон</w:t>
      </w:r>
      <w:r>
        <w:rPr>
          <w:sz w:val="28"/>
          <w:szCs w:val="28"/>
        </w:rPr>
        <w:t>ы отдыха может быть песчаным,</w:t>
      </w:r>
      <w:r w:rsidRPr="00396C56">
        <w:rPr>
          <w:sz w:val="28"/>
          <w:szCs w:val="28"/>
        </w:rPr>
        <w:t xml:space="preserve"> гравийно-песчаным, гравийно-галечным или травяным</w:t>
      </w:r>
      <w:r>
        <w:rPr>
          <w:sz w:val="28"/>
          <w:szCs w:val="28"/>
        </w:rPr>
        <w:t>.</w:t>
      </w:r>
    </w:p>
    <w:p w:rsidR="00A16307" w:rsidRPr="003C6E32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E32">
        <w:rPr>
          <w:sz w:val="28"/>
          <w:szCs w:val="28"/>
        </w:rPr>
        <w:t>Установка зонтов должна производит</w:t>
      </w:r>
      <w:r>
        <w:rPr>
          <w:sz w:val="28"/>
          <w:szCs w:val="28"/>
        </w:rPr>
        <w:t>ь</w:t>
      </w:r>
      <w:r w:rsidRPr="003C6E32">
        <w:rPr>
          <w:sz w:val="28"/>
          <w:szCs w:val="28"/>
        </w:rPr>
        <w:t>ся в металлические стаканы, заделанные в бетон,</w:t>
      </w:r>
      <w:r w:rsidRPr="005C79E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которого не должны выступать над поверхностью земли,</w:t>
      </w:r>
      <w:r w:rsidRPr="003C6E32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зонты должны </w:t>
      </w:r>
      <w:r w:rsidRPr="003C6E32">
        <w:rPr>
          <w:sz w:val="28"/>
          <w:szCs w:val="28"/>
        </w:rPr>
        <w:t xml:space="preserve">иметь тяжелые металлические основания, обеспечивающие </w:t>
      </w:r>
      <w:r>
        <w:rPr>
          <w:sz w:val="28"/>
          <w:szCs w:val="28"/>
        </w:rPr>
        <w:t xml:space="preserve">их </w:t>
      </w:r>
      <w:r w:rsidRPr="003C6E32">
        <w:rPr>
          <w:sz w:val="28"/>
          <w:szCs w:val="28"/>
        </w:rPr>
        <w:t>устойчивость. Основным материалом для каркаса является металл</w:t>
      </w:r>
      <w:r>
        <w:rPr>
          <w:sz w:val="28"/>
          <w:szCs w:val="28"/>
        </w:rPr>
        <w:t>, дерево.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Высота теневого навеса должна быть не более 3 м.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1976">
        <w:rPr>
          <w:sz w:val="28"/>
          <w:szCs w:val="28"/>
        </w:rPr>
        <w:t>пасательный</w:t>
      </w:r>
      <w:r>
        <w:rPr>
          <w:sz w:val="28"/>
          <w:szCs w:val="28"/>
        </w:rPr>
        <w:t xml:space="preserve"> </w:t>
      </w:r>
      <w:r w:rsidRPr="001E1976">
        <w:rPr>
          <w:sz w:val="28"/>
          <w:szCs w:val="28"/>
        </w:rPr>
        <w:t>пост располагае</w:t>
      </w:r>
      <w:r>
        <w:rPr>
          <w:sz w:val="28"/>
          <w:szCs w:val="28"/>
        </w:rPr>
        <w:t>тся</w:t>
      </w:r>
      <w:r w:rsidRPr="001E1976">
        <w:rPr>
          <w:sz w:val="28"/>
          <w:szCs w:val="28"/>
        </w:rPr>
        <w:t xml:space="preserve"> </w:t>
      </w:r>
      <w:r w:rsidRPr="00AD07C0">
        <w:rPr>
          <w:sz w:val="28"/>
          <w:szCs w:val="28"/>
        </w:rPr>
        <w:t>с учетом возможности обозрения и контроля</w:t>
      </w:r>
      <w:r w:rsidRPr="001E197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E1976">
        <w:rPr>
          <w:sz w:val="28"/>
          <w:szCs w:val="28"/>
        </w:rPr>
        <w:t>ерритори</w:t>
      </w:r>
      <w:r>
        <w:rPr>
          <w:sz w:val="28"/>
          <w:szCs w:val="28"/>
        </w:rPr>
        <w:t>и</w:t>
      </w:r>
      <w:r w:rsidRPr="00A37BB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 места отдыха у воды.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зоне обслуживания</w:t>
      </w:r>
      <w:r w:rsidRPr="008D091E">
        <w:rPr>
          <w:sz w:val="28"/>
          <w:szCs w:val="28"/>
        </w:rPr>
        <w:t xml:space="preserve"> </w:t>
      </w:r>
      <w:r w:rsidRPr="00695D10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695D10">
        <w:rPr>
          <w:sz w:val="28"/>
          <w:szCs w:val="28"/>
        </w:rPr>
        <w:t xml:space="preserve"> места отдыха</w:t>
      </w:r>
      <w:r>
        <w:rPr>
          <w:sz w:val="28"/>
          <w:szCs w:val="28"/>
        </w:rPr>
        <w:t xml:space="preserve"> у воды размещаются:</w:t>
      </w:r>
      <w:r w:rsidRPr="008D091E">
        <w:rPr>
          <w:sz w:val="28"/>
          <w:szCs w:val="28"/>
        </w:rPr>
        <w:t xml:space="preserve"> </w:t>
      </w:r>
      <w:r>
        <w:rPr>
          <w:sz w:val="28"/>
          <w:szCs w:val="28"/>
        </w:rPr>
        <w:t>туалеты,</w:t>
      </w:r>
      <w:r w:rsidRPr="005F51A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кабинки для переодевания.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Организованные места отдыха у воды оборудуются биотуалетами или туалетами с водонепроницаемым выгребом, для маломобильных групп населения</w:t>
      </w:r>
      <w:r w:rsidRPr="0067594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универсальная туалетная кабина в количестве не менее одной единицы.</w:t>
      </w:r>
      <w:r w:rsidRPr="0067594C">
        <w:rPr>
          <w:sz w:val="28"/>
          <w:szCs w:val="28"/>
        </w:rPr>
        <w:t xml:space="preserve"> 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Кабины для переодевания устанавливаются из расчета 1 на 75 пользователей, но не менее двух кабин на территории организованного места отдыха у воды, для маломобильных групп населения</w:t>
      </w:r>
      <w:r w:rsidRPr="0067594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универсальная кабина для переодевания в количестве не менее одной единицы.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 w:rsidRPr="00C52DB4">
        <w:rPr>
          <w:sz w:val="28"/>
          <w:szCs w:val="28"/>
        </w:rPr>
        <w:t>Туалет</w:t>
      </w:r>
      <w:r>
        <w:rPr>
          <w:sz w:val="28"/>
          <w:szCs w:val="28"/>
        </w:rPr>
        <w:t>ные кабины</w:t>
      </w:r>
      <w:r w:rsidRPr="00C52DB4">
        <w:rPr>
          <w:sz w:val="28"/>
          <w:szCs w:val="28"/>
        </w:rPr>
        <w:t>, кабины для переодевания должны быть оснащены крючками для одежды, полотенец, сумок.</w:t>
      </w:r>
    </w:p>
    <w:p w:rsidR="00A16307" w:rsidRDefault="00A16307" w:rsidP="00A16307">
      <w:pPr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 с</w:t>
      </w:r>
      <w:r w:rsidRPr="00F6154F">
        <w:rPr>
          <w:sz w:val="28"/>
          <w:szCs w:val="28"/>
        </w:rPr>
        <w:t>портивн</w:t>
      </w:r>
      <w:r>
        <w:rPr>
          <w:sz w:val="28"/>
          <w:szCs w:val="28"/>
        </w:rPr>
        <w:t>ой</w:t>
      </w:r>
      <w:r w:rsidRPr="00F6154F">
        <w:rPr>
          <w:sz w:val="28"/>
          <w:szCs w:val="28"/>
        </w:rPr>
        <w:t xml:space="preserve"> зон</w:t>
      </w:r>
      <w:r>
        <w:rPr>
          <w:sz w:val="28"/>
          <w:szCs w:val="28"/>
        </w:rPr>
        <w:t>е</w:t>
      </w:r>
      <w:r w:rsidRPr="00F6154F">
        <w:rPr>
          <w:color w:val="333333"/>
          <w:sz w:val="28"/>
          <w:szCs w:val="28"/>
        </w:rPr>
        <w:t xml:space="preserve"> размеща</w:t>
      </w:r>
      <w:r>
        <w:rPr>
          <w:color w:val="333333"/>
          <w:sz w:val="28"/>
          <w:szCs w:val="28"/>
        </w:rPr>
        <w:t>е</w:t>
      </w:r>
      <w:r w:rsidRPr="00F6154F">
        <w:rPr>
          <w:color w:val="333333"/>
          <w:sz w:val="28"/>
          <w:szCs w:val="28"/>
        </w:rPr>
        <w:t xml:space="preserve">тся </w:t>
      </w:r>
      <w:r>
        <w:rPr>
          <w:color w:val="333333"/>
          <w:sz w:val="28"/>
          <w:szCs w:val="28"/>
        </w:rPr>
        <w:t xml:space="preserve">спортивная </w:t>
      </w:r>
      <w:r w:rsidRPr="00F6154F">
        <w:rPr>
          <w:color w:val="333333"/>
          <w:sz w:val="28"/>
          <w:szCs w:val="28"/>
        </w:rPr>
        <w:t>площадк</w:t>
      </w:r>
      <w:r>
        <w:rPr>
          <w:color w:val="333333"/>
          <w:sz w:val="28"/>
          <w:szCs w:val="28"/>
        </w:rPr>
        <w:t>а, требования к которой установлены Правилами.</w:t>
      </w:r>
      <w:r w:rsidRPr="00F6154F">
        <w:rPr>
          <w:color w:val="333333"/>
          <w:sz w:val="28"/>
          <w:szCs w:val="28"/>
        </w:rPr>
        <w:t xml:space="preserve"> </w:t>
      </w:r>
    </w:p>
    <w:p w:rsidR="00A16307" w:rsidRDefault="00A16307" w:rsidP="00A16307">
      <w:pPr>
        <w:ind w:firstLine="720"/>
        <w:jc w:val="both"/>
        <w:rPr>
          <w:color w:val="333333"/>
          <w:sz w:val="28"/>
          <w:szCs w:val="28"/>
        </w:rPr>
      </w:pPr>
      <w:r w:rsidRPr="005C79EA">
        <w:rPr>
          <w:sz w:val="28"/>
          <w:szCs w:val="28"/>
        </w:rPr>
        <w:t>В детской зоне размещается детская игровая площадка</w:t>
      </w:r>
      <w:r>
        <w:rPr>
          <w:sz w:val="28"/>
          <w:szCs w:val="28"/>
        </w:rPr>
        <w:t>,</w:t>
      </w:r>
      <w:r w:rsidRPr="005C79EA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требования к которой установлены Правилами.</w:t>
      </w:r>
      <w:r w:rsidRPr="00F6154F">
        <w:rPr>
          <w:color w:val="333333"/>
          <w:sz w:val="28"/>
          <w:szCs w:val="28"/>
        </w:rPr>
        <w:t xml:space="preserve"> 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всей территории организованного места отдыха у воды устанавливаются: указатели, урны, дорожки, скамьи для отдыха.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Указатели должны</w:t>
      </w:r>
      <w:r w:rsidRPr="00396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 </w:t>
      </w:r>
      <w:r w:rsidRPr="00396C56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396C56">
        <w:rPr>
          <w:sz w:val="28"/>
          <w:szCs w:val="28"/>
        </w:rPr>
        <w:t xml:space="preserve"> движения к функциональным зонам</w:t>
      </w:r>
      <w:r>
        <w:rPr>
          <w:sz w:val="28"/>
          <w:szCs w:val="28"/>
        </w:rPr>
        <w:t>,</w:t>
      </w:r>
      <w:r w:rsidRPr="00396C56">
        <w:rPr>
          <w:sz w:val="28"/>
          <w:szCs w:val="28"/>
        </w:rPr>
        <w:t xml:space="preserve"> объектам</w:t>
      </w:r>
      <w:r>
        <w:rPr>
          <w:sz w:val="28"/>
          <w:szCs w:val="28"/>
        </w:rPr>
        <w:t xml:space="preserve"> и элементам благоустройства</w:t>
      </w:r>
      <w:r w:rsidRPr="00D35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организованного места отдыха </w:t>
      </w:r>
      <w:r>
        <w:rPr>
          <w:sz w:val="28"/>
          <w:szCs w:val="28"/>
        </w:rPr>
        <w:br/>
        <w:t>у воды.</w:t>
      </w:r>
    </w:p>
    <w:p w:rsidR="00A16307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скамеек для отдыха предусматривается на твердые или мягкие виды покрытия с установкой фундамента. Фундамент или его части не должны выступать над поверхностью земли.</w:t>
      </w:r>
    </w:p>
    <w:p w:rsidR="00A16307" w:rsidRDefault="00A16307" w:rsidP="00A16307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Урны размещаются с учетом требований, установленных Правилами.</w:t>
      </w:r>
      <w:r w:rsidRPr="00F6154F">
        <w:rPr>
          <w:color w:val="333333"/>
          <w:sz w:val="28"/>
          <w:szCs w:val="28"/>
        </w:rPr>
        <w:t xml:space="preserve"> 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Дорожки, соединяющие функциональные зоны, кроме входной и зоны отдыха, обустраиваются </w:t>
      </w:r>
      <w:r w:rsidRPr="00695D10">
        <w:rPr>
          <w:sz w:val="28"/>
          <w:szCs w:val="28"/>
        </w:rPr>
        <w:t>из проницаемых покрытий: гравий (фрак</w:t>
      </w:r>
      <w:r>
        <w:rPr>
          <w:sz w:val="28"/>
          <w:szCs w:val="28"/>
        </w:rPr>
        <w:t xml:space="preserve">ция — 0-15 мм),  дощатый настил. </w:t>
      </w:r>
    </w:p>
    <w:p w:rsidR="00A16307" w:rsidRDefault="00A16307" w:rsidP="00A16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организованного места отдыха у воды может быть использовано мобильное или стационарное озеленение, требования к которому установлено Правилами.</w:t>
      </w:r>
    </w:p>
    <w:p w:rsidR="00A16307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267">
        <w:rPr>
          <w:sz w:val="28"/>
          <w:szCs w:val="28"/>
        </w:rPr>
        <w:t xml:space="preserve">На </w:t>
      </w:r>
      <w:r>
        <w:rPr>
          <w:sz w:val="28"/>
          <w:szCs w:val="28"/>
        </w:rPr>
        <w:t>местах (</w:t>
      </w:r>
      <w:r w:rsidRPr="00EF4267">
        <w:rPr>
          <w:sz w:val="28"/>
          <w:szCs w:val="28"/>
        </w:rPr>
        <w:t>площадках</w:t>
      </w:r>
      <w:r>
        <w:rPr>
          <w:sz w:val="28"/>
          <w:szCs w:val="28"/>
        </w:rPr>
        <w:t>)</w:t>
      </w:r>
      <w:r w:rsidRPr="00EF4267">
        <w:rPr>
          <w:sz w:val="28"/>
          <w:szCs w:val="28"/>
        </w:rPr>
        <w:t xml:space="preserve"> накопления отходов </w:t>
      </w:r>
      <w:r>
        <w:rPr>
          <w:sz w:val="28"/>
          <w:szCs w:val="28"/>
        </w:rPr>
        <w:t xml:space="preserve">устанавливаются </w:t>
      </w:r>
      <w:r w:rsidRPr="00EF4267">
        <w:rPr>
          <w:sz w:val="28"/>
          <w:szCs w:val="28"/>
        </w:rPr>
        <w:t>евроконтейнеры</w:t>
      </w:r>
      <w:r>
        <w:rPr>
          <w:sz w:val="28"/>
          <w:szCs w:val="28"/>
        </w:rPr>
        <w:t>, требования к которым установлены Правилами.</w:t>
      </w:r>
      <w:r w:rsidRPr="00EF4267">
        <w:rPr>
          <w:sz w:val="28"/>
          <w:szCs w:val="28"/>
        </w:rPr>
        <w:t xml:space="preserve"> </w:t>
      </w:r>
    </w:p>
    <w:p w:rsidR="00A16307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6307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6307" w:rsidRDefault="00A16307" w:rsidP="00A16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6307" w:rsidRPr="00695D10" w:rsidRDefault="00A16307" w:rsidP="00A16307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9F3D54">
        <w:rPr>
          <w:b/>
          <w:sz w:val="28"/>
          <w:szCs w:val="28"/>
        </w:rPr>
        <w:t>2.Требования к внешнему виду</w:t>
      </w:r>
      <w:r w:rsidRPr="001447F6">
        <w:rPr>
          <w:b/>
          <w:sz w:val="28"/>
          <w:szCs w:val="28"/>
        </w:rPr>
        <w:t xml:space="preserve"> </w:t>
      </w:r>
      <w:r w:rsidRPr="00695D10">
        <w:rPr>
          <w:b/>
          <w:sz w:val="28"/>
          <w:szCs w:val="28"/>
        </w:rPr>
        <w:t>объектов и элементов благоустройства организованных мест отдыха у воды</w:t>
      </w:r>
    </w:p>
    <w:p w:rsidR="00A16307" w:rsidRPr="009F3D54" w:rsidRDefault="00A16307" w:rsidP="00A16307">
      <w:pPr>
        <w:ind w:firstLine="709"/>
        <w:jc w:val="center"/>
        <w:rPr>
          <w:b/>
          <w:sz w:val="28"/>
          <w:szCs w:val="28"/>
        </w:rPr>
      </w:pPr>
    </w:p>
    <w:p w:rsidR="00A16307" w:rsidRDefault="00A16307" w:rsidP="00A16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должен иметь следующие размеры:</w:t>
      </w:r>
      <w:r w:rsidRPr="00396C56">
        <w:rPr>
          <w:sz w:val="28"/>
          <w:szCs w:val="28"/>
        </w:rPr>
        <w:t xml:space="preserve"> ширина не менее </w:t>
      </w:r>
      <w:r>
        <w:rPr>
          <w:sz w:val="28"/>
          <w:szCs w:val="28"/>
        </w:rPr>
        <w:t>1</w:t>
      </w:r>
      <w:r w:rsidRPr="00396C5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96C56">
        <w:rPr>
          <w:sz w:val="28"/>
          <w:szCs w:val="28"/>
        </w:rPr>
        <w:t xml:space="preserve"> м, высота </w:t>
      </w:r>
      <w:r>
        <w:rPr>
          <w:sz w:val="28"/>
          <w:szCs w:val="28"/>
        </w:rPr>
        <w:t>от 1,5 м до</w:t>
      </w:r>
      <w:r w:rsidRPr="00396C56">
        <w:rPr>
          <w:sz w:val="28"/>
          <w:szCs w:val="28"/>
        </w:rPr>
        <w:t xml:space="preserve"> 2,3</w:t>
      </w:r>
      <w:r>
        <w:rPr>
          <w:sz w:val="28"/>
          <w:szCs w:val="28"/>
        </w:rPr>
        <w:t xml:space="preserve"> м</w:t>
      </w:r>
      <w:r w:rsidRPr="00396C56">
        <w:rPr>
          <w:sz w:val="28"/>
          <w:szCs w:val="28"/>
        </w:rPr>
        <w:t>.</w:t>
      </w:r>
      <w:r w:rsidRPr="00F9535E">
        <w:rPr>
          <w:sz w:val="28"/>
          <w:szCs w:val="28"/>
        </w:rPr>
        <w:t xml:space="preserve"> </w:t>
      </w:r>
      <w:r w:rsidRPr="00396C56">
        <w:rPr>
          <w:sz w:val="28"/>
          <w:szCs w:val="28"/>
        </w:rPr>
        <w:t>Материал изготовления информационного поля</w:t>
      </w:r>
      <w:r>
        <w:rPr>
          <w:sz w:val="28"/>
          <w:szCs w:val="28"/>
        </w:rPr>
        <w:t>: термообработанная</w:t>
      </w:r>
      <w:r w:rsidRPr="00396C56">
        <w:rPr>
          <w:sz w:val="28"/>
          <w:szCs w:val="28"/>
        </w:rPr>
        <w:t xml:space="preserve"> д</w:t>
      </w:r>
      <w:r>
        <w:rPr>
          <w:sz w:val="28"/>
          <w:szCs w:val="28"/>
        </w:rPr>
        <w:t>ревесина</w:t>
      </w:r>
      <w:r w:rsidRPr="00396C56">
        <w:rPr>
          <w:sz w:val="28"/>
          <w:szCs w:val="28"/>
        </w:rPr>
        <w:t>, стекло,</w:t>
      </w:r>
      <w:r>
        <w:rPr>
          <w:sz w:val="28"/>
          <w:szCs w:val="28"/>
        </w:rPr>
        <w:t xml:space="preserve"> </w:t>
      </w:r>
      <w:r w:rsidRPr="00396C56">
        <w:rPr>
          <w:sz w:val="28"/>
          <w:szCs w:val="28"/>
        </w:rPr>
        <w:t xml:space="preserve">металл. </w:t>
      </w:r>
      <w:r>
        <w:rPr>
          <w:sz w:val="28"/>
          <w:szCs w:val="28"/>
        </w:rPr>
        <w:t>И</w:t>
      </w:r>
      <w:r w:rsidRPr="00396C56">
        <w:rPr>
          <w:sz w:val="28"/>
          <w:szCs w:val="28"/>
        </w:rPr>
        <w:t>нформационны</w:t>
      </w:r>
      <w:r>
        <w:rPr>
          <w:sz w:val="28"/>
          <w:szCs w:val="28"/>
        </w:rPr>
        <w:t>е</w:t>
      </w:r>
      <w:r w:rsidRPr="00396C5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наносятся с использованием </w:t>
      </w:r>
      <w:r w:rsidRPr="00396C56">
        <w:rPr>
          <w:sz w:val="28"/>
          <w:szCs w:val="28"/>
        </w:rPr>
        <w:t>винилов</w:t>
      </w:r>
      <w:r>
        <w:rPr>
          <w:sz w:val="28"/>
          <w:szCs w:val="28"/>
        </w:rPr>
        <w:t>ой пле</w:t>
      </w:r>
      <w:r w:rsidRPr="00396C56">
        <w:rPr>
          <w:sz w:val="28"/>
          <w:szCs w:val="28"/>
        </w:rPr>
        <w:t>нк</w:t>
      </w:r>
      <w:r>
        <w:rPr>
          <w:sz w:val="28"/>
          <w:szCs w:val="28"/>
        </w:rPr>
        <w:t xml:space="preserve">и, </w:t>
      </w:r>
      <w:r w:rsidRPr="00396C56">
        <w:rPr>
          <w:sz w:val="28"/>
          <w:szCs w:val="28"/>
        </w:rPr>
        <w:t>фрезеровк</w:t>
      </w:r>
      <w:r>
        <w:rPr>
          <w:sz w:val="28"/>
          <w:szCs w:val="28"/>
        </w:rPr>
        <w:t xml:space="preserve">и, </w:t>
      </w:r>
      <w:r w:rsidRPr="00396C56">
        <w:rPr>
          <w:sz w:val="28"/>
          <w:szCs w:val="28"/>
        </w:rPr>
        <w:t>гравировк</w:t>
      </w:r>
      <w:r>
        <w:rPr>
          <w:sz w:val="28"/>
          <w:szCs w:val="28"/>
        </w:rPr>
        <w:t>и.</w:t>
      </w:r>
    </w:p>
    <w:p w:rsidR="00A16307" w:rsidRDefault="00A16307" w:rsidP="00A16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Шезлонги и лежаки должны быть изготовлены из термообработанной древесины и переработанного пластика.</w:t>
      </w:r>
    </w:p>
    <w:p w:rsidR="00A16307" w:rsidRPr="0067594C" w:rsidRDefault="00A16307" w:rsidP="00A16307">
      <w:pPr>
        <w:ind w:firstLine="709"/>
        <w:jc w:val="both"/>
        <w:rPr>
          <w:sz w:val="28"/>
          <w:szCs w:val="28"/>
        </w:rPr>
      </w:pPr>
      <w:r w:rsidRPr="0067594C">
        <w:rPr>
          <w:sz w:val="28"/>
          <w:szCs w:val="28"/>
        </w:rPr>
        <w:t>Поверхность</w:t>
      </w:r>
      <w:r>
        <w:rPr>
          <w:sz w:val="28"/>
          <w:szCs w:val="28"/>
        </w:rPr>
        <w:t xml:space="preserve"> материала</w:t>
      </w:r>
      <w:r w:rsidRPr="0067594C">
        <w:rPr>
          <w:sz w:val="28"/>
          <w:szCs w:val="28"/>
        </w:rPr>
        <w:t xml:space="preserve"> кабин</w:t>
      </w:r>
      <w:r>
        <w:rPr>
          <w:sz w:val="28"/>
          <w:szCs w:val="28"/>
        </w:rPr>
        <w:t xml:space="preserve"> для переодевания</w:t>
      </w:r>
      <w:r w:rsidRPr="0067594C">
        <w:rPr>
          <w:sz w:val="28"/>
          <w:szCs w:val="28"/>
        </w:rPr>
        <w:t xml:space="preserve"> должна </w:t>
      </w:r>
      <w:r>
        <w:rPr>
          <w:sz w:val="28"/>
          <w:szCs w:val="28"/>
        </w:rPr>
        <w:t xml:space="preserve">обладать </w:t>
      </w:r>
      <w:r w:rsidRPr="0067594C">
        <w:rPr>
          <w:sz w:val="28"/>
          <w:szCs w:val="28"/>
        </w:rPr>
        <w:t xml:space="preserve">устойчивостью по отношению к атмосферным осадкам и воздействию солнечных лучей. Для стационарной установки кабин необходимо надежное крепление с заделкой его в грунт. </w:t>
      </w:r>
    </w:p>
    <w:p w:rsidR="00A16307" w:rsidRDefault="00A16307" w:rsidP="00A16307">
      <w:pPr>
        <w:ind w:firstLine="709"/>
        <w:jc w:val="both"/>
        <w:rPr>
          <w:sz w:val="28"/>
          <w:szCs w:val="28"/>
        </w:rPr>
      </w:pPr>
      <w:r w:rsidRPr="00DD5A03">
        <w:rPr>
          <w:sz w:val="28"/>
          <w:szCs w:val="28"/>
        </w:rPr>
        <w:t xml:space="preserve">Урны для мусора должны </w:t>
      </w:r>
      <w:r>
        <w:rPr>
          <w:sz w:val="28"/>
          <w:szCs w:val="28"/>
        </w:rPr>
        <w:t xml:space="preserve">быть </w:t>
      </w:r>
      <w:r w:rsidRPr="00DD5A03">
        <w:rPr>
          <w:sz w:val="28"/>
          <w:szCs w:val="28"/>
        </w:rPr>
        <w:t>отдельно стоя</w:t>
      </w:r>
      <w:r>
        <w:rPr>
          <w:sz w:val="28"/>
          <w:szCs w:val="28"/>
        </w:rPr>
        <w:t>щими.</w:t>
      </w:r>
      <w:r w:rsidRPr="00DD5A03">
        <w:rPr>
          <w:sz w:val="28"/>
          <w:szCs w:val="28"/>
        </w:rPr>
        <w:t xml:space="preserve"> Устройством урны должно быть предусмотрено легкое извлечение содержимого и очистка поверхности внутреннего объема. </w:t>
      </w:r>
      <w:r>
        <w:rPr>
          <w:sz w:val="28"/>
          <w:szCs w:val="28"/>
        </w:rPr>
        <w:t>М</w:t>
      </w:r>
      <w:r w:rsidRPr="00DD5A03">
        <w:rPr>
          <w:sz w:val="28"/>
          <w:szCs w:val="28"/>
        </w:rPr>
        <w:t xml:space="preserve">атериал </w:t>
      </w:r>
      <w:r>
        <w:rPr>
          <w:sz w:val="28"/>
          <w:szCs w:val="28"/>
        </w:rPr>
        <w:t xml:space="preserve">изготовления </w:t>
      </w:r>
      <w:r w:rsidRPr="00DD5A03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обладать </w:t>
      </w:r>
      <w:r w:rsidRPr="00DD5A03">
        <w:rPr>
          <w:sz w:val="28"/>
          <w:szCs w:val="28"/>
        </w:rPr>
        <w:t>устойчивостью к агрессивным воздействиям внешней среды</w:t>
      </w:r>
      <w:r>
        <w:rPr>
          <w:sz w:val="28"/>
          <w:szCs w:val="28"/>
        </w:rPr>
        <w:t>.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скамейки выполняется из термообработанной древесины</w:t>
      </w:r>
      <w:r w:rsidRPr="00777D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должна быть гладко выструганной.</w:t>
      </w:r>
      <w:r w:rsidRPr="00DC7E4F">
        <w:rPr>
          <w:sz w:val="28"/>
          <w:szCs w:val="28"/>
        </w:rPr>
        <w:t xml:space="preserve"> </w:t>
      </w:r>
    </w:p>
    <w:p w:rsidR="00A16307" w:rsidRPr="00CF6A53" w:rsidRDefault="00A16307" w:rsidP="00A16307">
      <w:pPr>
        <w:suppressAutoHyphens/>
        <w:ind w:firstLine="709"/>
        <w:jc w:val="both"/>
        <w:rPr>
          <w:bCs/>
          <w:sz w:val="28"/>
          <w:szCs w:val="28"/>
        </w:rPr>
      </w:pPr>
      <w:r w:rsidRPr="00DC7E4F">
        <w:rPr>
          <w:sz w:val="28"/>
          <w:szCs w:val="28"/>
        </w:rPr>
        <w:t>Цветовое решение всех элементов благоустройства организованного места отдыха у воды должно быть выполнено в одной цветовой гамме.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Не рекомендую</w:t>
      </w:r>
      <w:r w:rsidRPr="00DC7E4F">
        <w:rPr>
          <w:sz w:val="28"/>
          <w:szCs w:val="28"/>
        </w:rPr>
        <w:t>тся к использованию</w:t>
      </w:r>
      <w:r>
        <w:rPr>
          <w:sz w:val="28"/>
          <w:szCs w:val="28"/>
        </w:rPr>
        <w:t xml:space="preserve"> для </w:t>
      </w:r>
      <w:r w:rsidRPr="00DC7E4F">
        <w:rPr>
          <w:sz w:val="28"/>
          <w:szCs w:val="28"/>
        </w:rPr>
        <w:t>элементов благоустройства организованного места отдыха</w:t>
      </w:r>
      <w:r>
        <w:rPr>
          <w:sz w:val="28"/>
          <w:szCs w:val="28"/>
        </w:rPr>
        <w:t xml:space="preserve"> у воды цвета в красной, желтой, зеленой, синей палитре (согласно</w:t>
      </w:r>
      <w:r w:rsidRPr="00DC7E4F">
        <w:rPr>
          <w:sz w:val="28"/>
          <w:szCs w:val="28"/>
        </w:rPr>
        <w:t xml:space="preserve"> ГОСТ 12.4.026-2015 Межгосударственный стандарт. Система стандартов безопасности труда. Цвета сигнальные, знаки безопасности и разметка сигнальная</w:t>
      </w:r>
      <w:r w:rsidRPr="00DC7E4F">
        <w:rPr>
          <w:b/>
          <w:bCs/>
          <w:sz w:val="28"/>
          <w:szCs w:val="28"/>
        </w:rPr>
        <w:t xml:space="preserve"> </w:t>
      </w:r>
      <w:r w:rsidRPr="00DC7E4F">
        <w:rPr>
          <w:bCs/>
          <w:sz w:val="28"/>
          <w:szCs w:val="28"/>
        </w:rPr>
        <w:t xml:space="preserve">Назначение и правила применения. Общие технические требования </w:t>
      </w:r>
      <w:r>
        <w:rPr>
          <w:bCs/>
          <w:sz w:val="28"/>
          <w:szCs w:val="28"/>
        </w:rPr>
        <w:br/>
      </w:r>
      <w:r w:rsidRPr="00DC7E4F">
        <w:rPr>
          <w:bCs/>
          <w:sz w:val="28"/>
          <w:szCs w:val="28"/>
        </w:rPr>
        <w:t xml:space="preserve">и характеристики. Методы </w:t>
      </w:r>
      <w:r w:rsidRPr="00CF6A53">
        <w:rPr>
          <w:bCs/>
          <w:sz w:val="28"/>
          <w:szCs w:val="28"/>
        </w:rPr>
        <w:t>испытаний).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 xml:space="preserve">Цветовая палитра покрытий должна соответствовать следующему перечню цветов: 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  <w:lang w:val="en-US"/>
        </w:rPr>
        <w:t>RAL</w:t>
      </w:r>
      <w:r w:rsidRPr="00CF6A53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0 зелено-бежевый, 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1001 бежевый,</w:t>
      </w:r>
      <w:r w:rsidRPr="00CF6A53">
        <w:rPr>
          <w:sz w:val="28"/>
          <w:szCs w:val="28"/>
        </w:rPr>
        <w:t xml:space="preserve"> 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 xml:space="preserve">1002 песочно-желтый, 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1013 жемчужно-белый, </w:t>
      </w:r>
    </w:p>
    <w:p w:rsidR="00A16307" w:rsidRDefault="00A16307" w:rsidP="00A16307">
      <w:pPr>
        <w:suppressAutoHyphens/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 xml:space="preserve">1014 слоновая кость, </w:t>
      </w:r>
    </w:p>
    <w:p w:rsidR="00A16307" w:rsidRPr="00CF6A53" w:rsidRDefault="00A16307" w:rsidP="00A16307">
      <w:pPr>
        <w:suppressAutoHyphens/>
        <w:ind w:firstLine="709"/>
        <w:jc w:val="both"/>
        <w:rPr>
          <w:sz w:val="28"/>
          <w:szCs w:val="28"/>
        </w:rPr>
      </w:pPr>
      <w:r w:rsidRPr="00CF6A53">
        <w:rPr>
          <w:sz w:val="28"/>
          <w:szCs w:val="28"/>
        </w:rPr>
        <w:t>1015 светлая слоновая кость.</w:t>
      </w:r>
    </w:p>
    <w:p w:rsidR="009049A7" w:rsidRDefault="009049A7"/>
    <w:sectPr w:rsidR="009049A7" w:rsidSect="0090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07"/>
    <w:rsid w:val="007651F9"/>
    <w:rsid w:val="009049A7"/>
    <w:rsid w:val="00A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3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1630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A16307"/>
    <w:pPr>
      <w:autoSpaceDE w:val="0"/>
      <w:autoSpaceDN w:val="0"/>
      <w:adjustRightInd w:val="0"/>
      <w:spacing w:after="0" w:line="240" w:lineRule="auto"/>
    </w:pPr>
    <w:rPr>
      <w:rFonts w:ascii="Circe" w:eastAsia="Calibri" w:hAnsi="Circe" w:cs="Circe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3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1630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A16307"/>
    <w:pPr>
      <w:autoSpaceDE w:val="0"/>
      <w:autoSpaceDN w:val="0"/>
      <w:adjustRightInd w:val="0"/>
      <w:spacing w:after="0" w:line="240" w:lineRule="auto"/>
    </w:pPr>
    <w:rPr>
      <w:rFonts w:ascii="Circe" w:eastAsia="Calibri" w:hAnsi="Circe" w:cs="Circe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CC142CE2AF519770E5AB2C4BAD6CE3110BDB7397A72678F05920A51D8B95AD0F38D654FCB64E7862A45FC3A0524C654D6CF50082A366A500473E1b6i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4CC142CE2AF519770E5AB2C4BAD6CE3110BDB7397A72608C04920A51D8B95AD0F38D654FCB64E7862A45FC3A0524C654D6CF50082A366A500473E1b6i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931A473E08CCBEAE8A7BCB3085E821B0DBDEA20BD68DE71AAC6B03551AA35FC3A0FA79728A2A5BFC33955CAE541490EA208F1B65297095E3B3C6082b2e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31A473E08CCBEAE8A7BCB3085E821B0DBDEA20BD68D972AEC5B03551AA35FC3A0FA79728A2A5BFC33858C3E141490EA208F1B65297095E3B3C6082b2e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Дровняшин Андрей Николаевич</cp:lastModifiedBy>
  <cp:revision>2</cp:revision>
  <dcterms:created xsi:type="dcterms:W3CDTF">2022-06-30T10:52:00Z</dcterms:created>
  <dcterms:modified xsi:type="dcterms:W3CDTF">2022-06-30T10:52:00Z</dcterms:modified>
</cp:coreProperties>
</file>