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090" w:rsidRDefault="00A4109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A41090" w:rsidRDefault="00A41090">
      <w:pPr>
        <w:pStyle w:val="ConsPlusNormal"/>
        <w:ind w:firstLine="540"/>
        <w:jc w:val="both"/>
      </w:pPr>
    </w:p>
    <w:p w:rsidR="00A41090" w:rsidRDefault="00A41090">
      <w:pPr>
        <w:pStyle w:val="ConsPlusNormal"/>
        <w:jc w:val="center"/>
      </w:pPr>
      <w:r>
        <w:t>АДМИНИСТРАЦИЯ ГОРОДА ПЕРМИ</w:t>
      </w:r>
    </w:p>
    <w:p w:rsidR="00A41090" w:rsidRDefault="00A41090">
      <w:pPr>
        <w:pStyle w:val="ConsPlusNormal"/>
        <w:jc w:val="center"/>
      </w:pPr>
      <w:proofErr w:type="gramStart"/>
      <w:r>
        <w:t>П</w:t>
      </w:r>
      <w:proofErr w:type="gramEnd"/>
      <w:r>
        <w:t xml:space="preserve"> О С Т А Н О В Л Е Н И Е</w:t>
      </w:r>
    </w:p>
    <w:p w:rsidR="00A41090" w:rsidRDefault="00A41090">
      <w:pPr>
        <w:pStyle w:val="ConsPlusNormal"/>
        <w:ind w:firstLine="540"/>
        <w:jc w:val="both"/>
      </w:pPr>
    </w:p>
    <w:p w:rsidR="00A41090" w:rsidRDefault="00A41090">
      <w:pPr>
        <w:pStyle w:val="ConsPlusNormal"/>
        <w:ind w:firstLine="540"/>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A41090">
        <w:tc>
          <w:tcPr>
            <w:tcW w:w="4677" w:type="dxa"/>
            <w:tcBorders>
              <w:top w:val="nil"/>
              <w:left w:val="nil"/>
              <w:bottom w:val="nil"/>
              <w:right w:val="nil"/>
            </w:tcBorders>
          </w:tcPr>
          <w:p w:rsidR="00A41090" w:rsidRDefault="00A41090">
            <w:pPr>
              <w:pStyle w:val="ConsPlusNormal"/>
            </w:pPr>
            <w:r>
              <w:t>10.10.2016</w:t>
            </w:r>
          </w:p>
        </w:tc>
        <w:tc>
          <w:tcPr>
            <w:tcW w:w="4677" w:type="dxa"/>
            <w:tcBorders>
              <w:top w:val="nil"/>
              <w:left w:val="nil"/>
              <w:bottom w:val="nil"/>
              <w:right w:val="nil"/>
            </w:tcBorders>
          </w:tcPr>
          <w:p w:rsidR="00A41090" w:rsidRDefault="00A41090">
            <w:pPr>
              <w:pStyle w:val="ConsPlusNormal"/>
              <w:jc w:val="right"/>
            </w:pPr>
            <w:r>
              <w:t>N 813</w:t>
            </w:r>
          </w:p>
        </w:tc>
      </w:tr>
    </w:tbl>
    <w:p w:rsidR="00A41090" w:rsidRDefault="00A41090">
      <w:pPr>
        <w:pStyle w:val="ConsPlusNormal"/>
        <w:jc w:val="both"/>
      </w:pPr>
    </w:p>
    <w:p w:rsidR="00A41090" w:rsidRDefault="00A41090">
      <w:pPr>
        <w:pStyle w:val="ConsPlusNormal"/>
      </w:pPr>
      <w:r>
        <w:t>Об одобрении Прогноза социально-</w:t>
      </w:r>
    </w:p>
    <w:p w:rsidR="00A41090" w:rsidRDefault="00A41090">
      <w:pPr>
        <w:pStyle w:val="ConsPlusNormal"/>
      </w:pPr>
      <w:r>
        <w:t>экономического развития города Перми</w:t>
      </w:r>
    </w:p>
    <w:p w:rsidR="00A41090" w:rsidRDefault="00A41090">
      <w:pPr>
        <w:pStyle w:val="ConsPlusNormal"/>
      </w:pPr>
      <w:r>
        <w:t>на 2017 год и период до 2019 года</w:t>
      </w:r>
    </w:p>
    <w:p w:rsidR="00A41090" w:rsidRDefault="00A41090">
      <w:pPr>
        <w:pStyle w:val="ConsPlusNormal"/>
        <w:ind w:firstLine="540"/>
        <w:jc w:val="both"/>
      </w:pPr>
    </w:p>
    <w:p w:rsidR="00A41090" w:rsidRDefault="00A41090">
      <w:pPr>
        <w:pStyle w:val="ConsPlusNormal"/>
        <w:ind w:firstLine="540"/>
        <w:jc w:val="both"/>
      </w:pPr>
    </w:p>
    <w:p w:rsidR="00A41090" w:rsidRDefault="00A41090">
      <w:pPr>
        <w:pStyle w:val="ConsPlusNormal"/>
        <w:ind w:firstLine="540"/>
        <w:jc w:val="both"/>
      </w:pPr>
      <w:r>
        <w:t>В соответствии со статьей 173 Бюджетного кодекса Российской Федерации администрация города Перми ПОСТАНОВЛЯЕТ:</w:t>
      </w:r>
    </w:p>
    <w:p w:rsidR="00A41090" w:rsidRDefault="00A41090">
      <w:pPr>
        <w:pStyle w:val="ConsPlusNormal"/>
        <w:ind w:firstLine="540"/>
        <w:jc w:val="both"/>
      </w:pPr>
      <w:r>
        <w:t>1. Одобрить прилагаемый Прогноз социально-экономического развития  города Перми на 2017 год и период до 2019 года.</w:t>
      </w:r>
    </w:p>
    <w:p w:rsidR="00A41090" w:rsidRDefault="00A41090">
      <w:pPr>
        <w:pStyle w:val="ConsPlusNormal"/>
        <w:ind w:firstLine="540"/>
        <w:jc w:val="both"/>
      </w:pPr>
      <w:r>
        <w:t xml:space="preserve">2. Признать утратившим силу </w:t>
      </w:r>
      <w:hyperlink r:id="rId5" w:history="1">
        <w:r>
          <w:rPr>
            <w:color w:val="0000FF"/>
          </w:rPr>
          <w:t>постановление</w:t>
        </w:r>
      </w:hyperlink>
      <w:r>
        <w:t xml:space="preserve"> администрации города Перми от 13 октября 2015 г. N 751 "Об одобрении Прогноза социально-экономического развития города Перми на 2016 год и период до 2018 года".</w:t>
      </w:r>
    </w:p>
    <w:p w:rsidR="00A41090" w:rsidRDefault="00A41090">
      <w:pPr>
        <w:pStyle w:val="ConsPlusNormal"/>
        <w:ind w:firstLine="540"/>
        <w:jc w:val="both"/>
      </w:pPr>
      <w:r>
        <w:t xml:space="preserve">3. Настоящее постановление вступает в силу </w:t>
      </w:r>
      <w:proofErr w:type="gramStart"/>
      <w:r>
        <w:t>с даты подписания</w:t>
      </w:r>
      <w:proofErr w:type="gramEnd"/>
      <w:r>
        <w:t>.</w:t>
      </w:r>
    </w:p>
    <w:p w:rsidR="00A41090" w:rsidRDefault="00A41090">
      <w:pPr>
        <w:pStyle w:val="ConsPlusNormal"/>
        <w:ind w:firstLine="540"/>
        <w:jc w:val="both"/>
      </w:pPr>
      <w:r>
        <w:t xml:space="preserve">4. Контроль за исполнением постановления возложить на заместителя </w:t>
      </w:r>
      <w:proofErr w:type="gramStart"/>
      <w:r>
        <w:t>главы администрации города Перми-начальника департамента</w:t>
      </w:r>
      <w:proofErr w:type="gramEnd"/>
      <w:r>
        <w:t xml:space="preserve"> экономики и промышленной политики администрации города Перми Агеева В.Г.</w:t>
      </w:r>
    </w:p>
    <w:p w:rsidR="00A41090" w:rsidRDefault="00A41090">
      <w:pPr>
        <w:pStyle w:val="ConsPlusNormal"/>
        <w:ind w:firstLine="540"/>
        <w:jc w:val="both"/>
      </w:pPr>
    </w:p>
    <w:p w:rsidR="00A41090" w:rsidRDefault="00A41090">
      <w:pPr>
        <w:pStyle w:val="ConsPlusNormal"/>
        <w:ind w:firstLine="540"/>
        <w:jc w:val="both"/>
      </w:pPr>
    </w:p>
    <w:p w:rsidR="00A41090" w:rsidRDefault="00A41090">
      <w:pPr>
        <w:pStyle w:val="ConsPlusNormal"/>
        <w:jc w:val="both"/>
      </w:pPr>
      <w:r>
        <w:t xml:space="preserve">Временно </w:t>
      </w:r>
      <w:proofErr w:type="gramStart"/>
      <w:r>
        <w:t>исполняющий</w:t>
      </w:r>
      <w:proofErr w:type="gramEnd"/>
      <w:r>
        <w:t xml:space="preserve"> полномочия</w:t>
      </w:r>
    </w:p>
    <w:p w:rsidR="00A41090" w:rsidRDefault="00A41090">
      <w:pPr>
        <w:pStyle w:val="ConsPlusNormal"/>
        <w:jc w:val="both"/>
      </w:pPr>
      <w:r>
        <w:t>главы администрации города Перми            Д.И.Самойлов</w:t>
      </w:r>
      <w:r>
        <w:br/>
      </w:r>
    </w:p>
    <w:p w:rsidR="00A41090" w:rsidRDefault="00A41090">
      <w:pPr>
        <w:pStyle w:val="ConsPlusNormal"/>
        <w:ind w:firstLine="540"/>
        <w:jc w:val="both"/>
      </w:pPr>
    </w:p>
    <w:p w:rsidR="00A41090" w:rsidRDefault="00A41090">
      <w:pPr>
        <w:pStyle w:val="ConsPlusNonformat"/>
        <w:jc w:val="both"/>
      </w:pPr>
      <w:r>
        <w:rPr>
          <w:sz w:val="12"/>
        </w:rPr>
        <w:t xml:space="preserve">                                                                                     ОДОБРЕН</w:t>
      </w:r>
    </w:p>
    <w:p w:rsidR="00A41090" w:rsidRDefault="00A41090">
      <w:pPr>
        <w:pStyle w:val="ConsPlusNonformat"/>
        <w:jc w:val="both"/>
      </w:pPr>
      <w:r>
        <w:rPr>
          <w:sz w:val="12"/>
        </w:rPr>
        <w:t xml:space="preserve">                                                                                     постановлением администрации</w:t>
      </w:r>
    </w:p>
    <w:p w:rsidR="00A41090" w:rsidRDefault="00A41090">
      <w:pPr>
        <w:pStyle w:val="ConsPlusNonformat"/>
        <w:jc w:val="both"/>
      </w:pPr>
      <w:r>
        <w:rPr>
          <w:sz w:val="12"/>
        </w:rPr>
        <w:t xml:space="preserve">                                                                                     города Перми</w:t>
      </w:r>
    </w:p>
    <w:p w:rsidR="00A41090" w:rsidRDefault="00A41090">
      <w:pPr>
        <w:pStyle w:val="ConsPlusNonformat"/>
        <w:jc w:val="both"/>
      </w:pPr>
      <w:r>
        <w:rPr>
          <w:sz w:val="12"/>
        </w:rPr>
        <w:t xml:space="preserve">                                                                                     от 10.10.2016 N 813</w:t>
      </w:r>
    </w:p>
    <w:p w:rsidR="00A41090" w:rsidRDefault="00A41090">
      <w:pPr>
        <w:pStyle w:val="ConsPlusNormal"/>
        <w:ind w:firstLine="540"/>
        <w:jc w:val="both"/>
      </w:pPr>
    </w:p>
    <w:p w:rsidR="00A41090" w:rsidRDefault="00A41090">
      <w:pPr>
        <w:pStyle w:val="ConsPlusNormal"/>
        <w:ind w:firstLine="540"/>
        <w:jc w:val="both"/>
      </w:pPr>
    </w:p>
    <w:p w:rsidR="00A41090" w:rsidRDefault="00A41090">
      <w:pPr>
        <w:pStyle w:val="ConsPlusNormal"/>
        <w:jc w:val="center"/>
      </w:pPr>
      <w:r>
        <w:t>ПРОГНОЗ</w:t>
      </w:r>
    </w:p>
    <w:p w:rsidR="00A41090" w:rsidRDefault="00A41090">
      <w:pPr>
        <w:pStyle w:val="ConsPlusNormal"/>
        <w:jc w:val="center"/>
      </w:pPr>
      <w:r>
        <w:t>социально-экономического развития города Перми</w:t>
      </w:r>
    </w:p>
    <w:p w:rsidR="00A41090" w:rsidRDefault="00A41090">
      <w:pPr>
        <w:pStyle w:val="ConsPlusNormal"/>
        <w:jc w:val="center"/>
      </w:pPr>
      <w:r>
        <w:t>на 2017 год и период до 2019 года</w:t>
      </w:r>
    </w:p>
    <w:p w:rsidR="00A41090" w:rsidRDefault="00A41090">
      <w:pPr>
        <w:pStyle w:val="ConsPlusNormal"/>
        <w:ind w:firstLine="540"/>
        <w:jc w:val="both"/>
      </w:pPr>
    </w:p>
    <w:p w:rsidR="00A41090" w:rsidRDefault="00A41090">
      <w:pPr>
        <w:pStyle w:val="ConsPlusNormal"/>
        <w:jc w:val="center"/>
      </w:pPr>
      <w:r>
        <w:t>I. Основные положения</w:t>
      </w:r>
    </w:p>
    <w:p w:rsidR="00A41090" w:rsidRDefault="00A41090">
      <w:pPr>
        <w:pStyle w:val="ConsPlusNormal"/>
        <w:jc w:val="center"/>
      </w:pPr>
    </w:p>
    <w:p w:rsidR="00A41090" w:rsidRDefault="00A41090">
      <w:pPr>
        <w:pStyle w:val="ConsPlusNormal"/>
        <w:ind w:firstLine="540"/>
        <w:jc w:val="both"/>
      </w:pPr>
      <w:r>
        <w:t>Прогноз социально-экономического развития города Перми на 2017 год и период до 2019 года (далее - Прогноз) основан на итогах социально-экономического развития города Перми за 2015 год и 7 месяцев 2016 года.</w:t>
      </w:r>
    </w:p>
    <w:p w:rsidR="00A41090" w:rsidRDefault="00A41090">
      <w:pPr>
        <w:pStyle w:val="ConsPlusNormal"/>
        <w:ind w:firstLine="540"/>
        <w:jc w:val="both"/>
      </w:pPr>
      <w:proofErr w:type="gramStart"/>
      <w:r>
        <w:t>Прогноз разработан по трем основным вариантам сценариев согласно постановлению администрации города Перми от 23 апреля 2010 г. N 207 "О Порядке разработки прогноза социально-экономического развития города Перми на очередной финансовый год и плановый период" и соответствует Сценарным условиям, основным параметрам прогноза социально-экономического развития Российской Федерации на 2017 год и на плановый период 2018 и 2019 годов от 06 мая 2016</w:t>
      </w:r>
      <w:proofErr w:type="gramEnd"/>
      <w:r>
        <w:t xml:space="preserve"> г., Сценарным условиям для формирования вариантов развития и основных показателей прогноза социально-экономического развития Пермского края на период до 2019 года, утвержденным губернатором Пермского края 08 июля 2016 г.</w:t>
      </w:r>
    </w:p>
    <w:p w:rsidR="00A41090" w:rsidRDefault="00A41090">
      <w:pPr>
        <w:pStyle w:val="ConsPlusNormal"/>
        <w:ind w:firstLine="540"/>
        <w:jc w:val="both"/>
      </w:pPr>
      <w:proofErr w:type="gramStart"/>
      <w:r>
        <w:t xml:space="preserve">Для расчета Прогноза учитывалась динамика изменения показателей, аналогичная динамике изменения показателей, отраженной в Сценарных условиях, основных параметрах </w:t>
      </w:r>
      <w:r>
        <w:lastRenderedPageBreak/>
        <w:t>прогноза социально-экономического развития Российской Федерации на 2017 год и на плановый период 2018 и 2019 годов от 06 мая 2016 г., Сценарных условиях для формирования вариантов развития и основных показателей прогноза социально-экономического развития Пермского края на период до 2019 года от 08 июля</w:t>
      </w:r>
      <w:proofErr w:type="gramEnd"/>
      <w:r>
        <w:t xml:space="preserve"> 2016 г.</w:t>
      </w:r>
    </w:p>
    <w:p w:rsidR="00A41090" w:rsidRDefault="00A41090">
      <w:pPr>
        <w:pStyle w:val="ConsPlusNormal"/>
        <w:ind w:firstLine="540"/>
        <w:jc w:val="both"/>
      </w:pPr>
      <w:r>
        <w:t>Экономическая ситуация как в Российской Федерации, Пермском крае, так и в городе Перми в 2016 году характеризуется ухудшением внешнеэкономических условий, прежде всего снижением цен на нефть, продолжением действия санкций со стороны Европейского союза и США, сохранением тенденции к снижению инвестиционной активности, а также масштабного оттока капитала.</w:t>
      </w:r>
    </w:p>
    <w:p w:rsidR="00A41090" w:rsidRDefault="00A41090">
      <w:pPr>
        <w:pStyle w:val="ConsPlusNormal"/>
        <w:ind w:firstLine="540"/>
        <w:jc w:val="both"/>
      </w:pPr>
      <w:proofErr w:type="gramStart"/>
      <w:r>
        <w:t>Прогноз основывается на гипотезе изменения внешних и внутренних факторов, в том числе динамики цен на нефть и других товаров российского экспорта в условиях сохраняющейся геополитической нестабильности, применения санкций к России на протяжении всего прогнозного периода со стороны США и Европейского союза, поддерживающего жесткие ограничения доступа российских компаний к мировому рынку капитала, и ответных экономических мер.</w:t>
      </w:r>
      <w:proofErr w:type="gramEnd"/>
    </w:p>
    <w:p w:rsidR="00A41090" w:rsidRDefault="00A41090">
      <w:pPr>
        <w:pStyle w:val="ConsPlusNormal"/>
        <w:ind w:firstLine="540"/>
        <w:jc w:val="both"/>
      </w:pPr>
      <w:r>
        <w:t>При разработке Прогноза учитывались планы-прогнозы крупных и средних предприятий и организаций города Перми до 2019 года.</w:t>
      </w:r>
    </w:p>
    <w:p w:rsidR="00A41090" w:rsidRDefault="00A41090">
      <w:pPr>
        <w:pStyle w:val="ConsPlusNormal"/>
        <w:ind w:firstLine="540"/>
        <w:jc w:val="both"/>
      </w:pPr>
      <w:r>
        <w:t>Сценарные условия и параметры прогноза социально-экономического развития города Перми на период до 2019 года приведены в приложении к настоящему Прогнозу.</w:t>
      </w:r>
    </w:p>
    <w:p w:rsidR="00A41090" w:rsidRDefault="00A41090">
      <w:pPr>
        <w:pStyle w:val="ConsPlusNormal"/>
        <w:ind w:firstLine="540"/>
        <w:jc w:val="both"/>
      </w:pPr>
      <w:r>
        <w:t xml:space="preserve">Базовый вариант разработан исходя из умеренной динамики цен на нефть сорта </w:t>
      </w:r>
      <w:proofErr w:type="spellStart"/>
      <w:r>
        <w:t>Urals</w:t>
      </w:r>
      <w:proofErr w:type="spellEnd"/>
      <w:r>
        <w:t xml:space="preserve"> на уровне 40 долларов США за баррель в 2016-2019 годах. В 2017-2019 годах на фоне сохранения действия санкций со стороны США и Европейского союза сохраняются ограничения доступа к мировому рынку капитала для российских компаний. В то же время при низком потребительском спросе ожидается, что инфляция в 2016 году замедлится. Снижение инфляции и возобновление экономического роста обеспечат рост реальных доходов населения.</w:t>
      </w:r>
    </w:p>
    <w:p w:rsidR="00A41090" w:rsidRDefault="00A41090">
      <w:pPr>
        <w:pStyle w:val="ConsPlusNormal"/>
        <w:ind w:firstLine="540"/>
        <w:jc w:val="both"/>
      </w:pPr>
      <w:r>
        <w:t xml:space="preserve">Консервативный вариант предполагает сохранение низких темпов роста экономики города при замедлении темпов роста инвестиционного и потребительского спроса, снижение среднегодовой цены на нефть сорта </w:t>
      </w:r>
      <w:proofErr w:type="spellStart"/>
      <w:r>
        <w:t>Urals</w:t>
      </w:r>
      <w:proofErr w:type="spellEnd"/>
      <w:r>
        <w:t xml:space="preserve"> до 25 долларов США за баррель в 2016 году и стабилизации на этом уровне до 2019 года. Сценарий предполагает падение доходов населения и снижение уровня жизни населения в условиях низких цен на нефть и высокой </w:t>
      </w:r>
      <w:proofErr w:type="spellStart"/>
      <w:r>
        <w:t>волатильности</w:t>
      </w:r>
      <w:proofErr w:type="spellEnd"/>
      <w:r>
        <w:t xml:space="preserve"> курса российского рубля.</w:t>
      </w:r>
    </w:p>
    <w:p w:rsidR="00A41090" w:rsidRDefault="00A41090">
      <w:pPr>
        <w:pStyle w:val="ConsPlusNormal"/>
        <w:ind w:firstLine="540"/>
        <w:jc w:val="both"/>
      </w:pPr>
      <w:r>
        <w:t xml:space="preserve">Оптимистический вариант предполагает сохранение среднегодовой цены на нефть сорта </w:t>
      </w:r>
      <w:proofErr w:type="spellStart"/>
      <w:r>
        <w:t>Urals</w:t>
      </w:r>
      <w:proofErr w:type="spellEnd"/>
      <w:r>
        <w:t xml:space="preserve"> на уровне базового варианта. Сценарий предполагает переход экономики на инвестиционную модель развития и возобновление экономического роста при снижении инфляции до 6,7 % в 2019 году.</w:t>
      </w:r>
    </w:p>
    <w:p w:rsidR="00A41090" w:rsidRDefault="00A41090">
      <w:pPr>
        <w:pStyle w:val="ConsPlusNormal"/>
        <w:ind w:firstLine="540"/>
        <w:jc w:val="both"/>
      </w:pPr>
      <w:proofErr w:type="gramStart"/>
      <w:r>
        <w:t>Корректировка Прогноза социально-экономического развития города Перми на 2016 год и период до 2018 года (далее - Прогноз 2016-2018 годов) основана на макроэкономических показателях прогноза социально-экономического развития Российской Федерации на период до 2019 года с учетом мировых тенденций, сценарных условий развития Пермского края на период до 2019 года и скорректированных планов предприятий города Перми.</w:t>
      </w:r>
      <w:proofErr w:type="gramEnd"/>
    </w:p>
    <w:p w:rsidR="00A41090" w:rsidRDefault="00A41090">
      <w:pPr>
        <w:pStyle w:val="ConsPlusNormal"/>
        <w:ind w:firstLine="540"/>
        <w:jc w:val="both"/>
      </w:pPr>
    </w:p>
    <w:p w:rsidR="00A41090" w:rsidRDefault="00A41090">
      <w:pPr>
        <w:pStyle w:val="ConsPlusNormal"/>
        <w:jc w:val="center"/>
      </w:pPr>
      <w:r>
        <w:t>II. Уровень жизни населения</w:t>
      </w:r>
    </w:p>
    <w:p w:rsidR="00A41090" w:rsidRDefault="00A41090">
      <w:pPr>
        <w:pStyle w:val="ConsPlusNormal"/>
        <w:jc w:val="center"/>
      </w:pPr>
    </w:p>
    <w:p w:rsidR="00A41090" w:rsidRDefault="00A41090">
      <w:pPr>
        <w:pStyle w:val="ConsPlusNormal"/>
        <w:ind w:firstLine="540"/>
        <w:jc w:val="both"/>
      </w:pPr>
      <w:r>
        <w:t>По итогам 2015 года фонд заработной платы на крупных и средних предприятиях города Перми составил 130,0 млрд</w:t>
      </w:r>
      <w:proofErr w:type="gramStart"/>
      <w:r>
        <w:t>.р</w:t>
      </w:r>
      <w:proofErr w:type="gramEnd"/>
      <w:r>
        <w:t>уб., увеличившись на 1,3 % по сравнению с 2014 годом.</w:t>
      </w:r>
    </w:p>
    <w:p w:rsidR="00A41090" w:rsidRDefault="00A41090">
      <w:pPr>
        <w:pStyle w:val="ConsPlusNormal"/>
        <w:ind w:firstLine="540"/>
        <w:jc w:val="both"/>
      </w:pPr>
      <w:r>
        <w:t>Наибольший вклад в рост фонда заработной платы внесли предприятия транспорта и связи (108,7 % к уровню 2014 года), а также организации, занимающиеся оптовой и розничной торговлей (108,5 % к уровню 2015 года), операциями с недвижимым имуществом (104,1 % к уровню 2015 года). На сдерживание роста фонда заработной платы повлияла финансовая отрасль (83,8 % к уровню 2014 года). При этом в сфере образования фонд заработной платы в 2015 году увеличился на 4,6 %, а в здравоохранении уменьшился на 0,8 %.</w:t>
      </w:r>
    </w:p>
    <w:p w:rsidR="00A41090" w:rsidRDefault="00A41090">
      <w:pPr>
        <w:pStyle w:val="ConsPlusNormal"/>
        <w:ind w:firstLine="540"/>
        <w:jc w:val="both"/>
      </w:pPr>
      <w:r>
        <w:t>В январе-июле 2016 года фонд заработной платы по крупным и средним предприятиям города Перми составил 73,1 млрд</w:t>
      </w:r>
      <w:proofErr w:type="gramStart"/>
      <w:r>
        <w:t>.р</w:t>
      </w:r>
      <w:proofErr w:type="gramEnd"/>
      <w:r>
        <w:t>уб., увеличившись на 4,6 % по сравнению с аналогичным периодом 2015 года.</w:t>
      </w:r>
    </w:p>
    <w:p w:rsidR="00A41090" w:rsidRDefault="00A41090">
      <w:pPr>
        <w:pStyle w:val="ConsPlusNormal"/>
        <w:ind w:firstLine="540"/>
        <w:jc w:val="both"/>
      </w:pPr>
      <w:r>
        <w:lastRenderedPageBreak/>
        <w:t>В начале 2016 года наблюдается постепенное увеличение темпов роста фонда заработной платы: с 100,9 % в январе 2016 года по отношению к январю 2015 года до 104,6 % в январе-июле 2016 года по отношению к январю-июлю 2015 года.</w:t>
      </w:r>
    </w:p>
    <w:p w:rsidR="00A41090" w:rsidRDefault="00A41090">
      <w:pPr>
        <w:pStyle w:val="ConsPlusNormal"/>
        <w:ind w:firstLine="540"/>
        <w:jc w:val="both"/>
      </w:pPr>
      <w:r>
        <w:t>С учетом сложившихся тенденций фонд заработной платы на крупных и средних предприятиях города Перми в 2016 году составит около 136,0 млрд</w:t>
      </w:r>
      <w:proofErr w:type="gramStart"/>
      <w:r>
        <w:t>.р</w:t>
      </w:r>
      <w:proofErr w:type="gramEnd"/>
      <w:r>
        <w:t>уб., или 104,6 % к уровню 2015 года.</w:t>
      </w:r>
    </w:p>
    <w:p w:rsidR="00A41090" w:rsidRDefault="00A41090">
      <w:pPr>
        <w:pStyle w:val="ConsPlusNormal"/>
        <w:ind w:firstLine="540"/>
        <w:jc w:val="both"/>
      </w:pPr>
      <w:proofErr w:type="gramStart"/>
      <w:r>
        <w:t>В плановом периоде 2017-2018 годов в бюджетной сфере будет продолжена реализация мер по повышению оплаты труда отдельных категорий персонала (врачи, средний и младший медицинский персонал, преподаватели вузов, работники науки и культуры) в соответствии с Указом Президента Российской Федерации от 07 мая 2012 г. N 597 "О мероприятиях по реализации государственной социальной политики".</w:t>
      </w:r>
      <w:proofErr w:type="gramEnd"/>
      <w:r>
        <w:t xml:space="preserve"> В 2019 году заработную плату указанных категорий работников предполагается сохранить на уровне, достигнутом в 2018 году.</w:t>
      </w:r>
    </w:p>
    <w:p w:rsidR="00A41090" w:rsidRDefault="00A41090">
      <w:pPr>
        <w:pStyle w:val="ConsPlusNormal"/>
        <w:ind w:firstLine="540"/>
        <w:jc w:val="both"/>
      </w:pPr>
      <w:r>
        <w:t>На предприятиях корпоративного сектора согласно прогнозным данным пермских предприятий темпы роста фонда заработной платы в плановый период 2017-2019 годов будут умеренными вследствие сдержанного роста издержек предприятий, в том числе за счет оптимизации затрат на оплату труда.</w:t>
      </w:r>
    </w:p>
    <w:p w:rsidR="00A41090" w:rsidRDefault="00A41090">
      <w:pPr>
        <w:pStyle w:val="ConsPlusNormal"/>
        <w:ind w:firstLine="540"/>
        <w:jc w:val="both"/>
      </w:pPr>
      <w:r>
        <w:t>Изменение темпов роста фонда заработной платы в плановом периоде 2017-2019 годов по сравнению с Прогнозом 2016-2018 годов связано с замедлением темпов экономики и корректировкой планов предприятий города Перми.</w:t>
      </w:r>
    </w:p>
    <w:p w:rsidR="00A41090" w:rsidRDefault="00A41090">
      <w:pPr>
        <w:pStyle w:val="ConsPlusNormal"/>
        <w:ind w:firstLine="540"/>
        <w:jc w:val="both"/>
      </w:pPr>
      <w:r>
        <w:t>Рост фонда заработной платы в 2019 году к уровню 2016 года по базовому сценарию - 112,8 %, по консервативному сценарию - 109,4 %, по оптимистическому сценарию - 116,5 %.</w:t>
      </w:r>
    </w:p>
    <w:p w:rsidR="00A41090" w:rsidRDefault="00A41090">
      <w:pPr>
        <w:pStyle w:val="ConsPlusNormal"/>
        <w:ind w:firstLine="540"/>
        <w:jc w:val="both"/>
      </w:pPr>
    </w:p>
    <w:p w:rsidR="00A41090" w:rsidRDefault="00A41090">
      <w:pPr>
        <w:pStyle w:val="ConsPlusNormal"/>
        <w:jc w:val="center"/>
      </w:pPr>
      <w:r>
        <w:t>III. Труд и занятость</w:t>
      </w:r>
    </w:p>
    <w:p w:rsidR="00A41090" w:rsidRDefault="00A41090">
      <w:pPr>
        <w:pStyle w:val="ConsPlusNormal"/>
        <w:ind w:firstLine="540"/>
        <w:jc w:val="both"/>
      </w:pPr>
    </w:p>
    <w:p w:rsidR="00A41090" w:rsidRDefault="00A41090">
      <w:pPr>
        <w:pStyle w:val="ConsPlusNormal"/>
        <w:ind w:firstLine="540"/>
        <w:jc w:val="both"/>
      </w:pPr>
      <w:r>
        <w:t>Численность работающих на крупных и средних предприятиях города Перми (без внешних совместителей) по итогам 2015 года уменьшилась на 0,7 % к соответствующему периоду 2014 года и составила 295,0 тыс</w:t>
      </w:r>
      <w:proofErr w:type="gramStart"/>
      <w:r>
        <w:t>.ч</w:t>
      </w:r>
      <w:proofErr w:type="gramEnd"/>
      <w:r>
        <w:t>ел. Наибольшее снижение отмечалось в сфере обрабатывающих производств (95,8 % к уровню 2014 года), в том числе в отрасли производства машин и оборудования (94,7 % к уровню 2014 года), производства пищевых продуктов, включая напитки, и табака (89,6 % к уровню 2014 года), производства прочих неметаллических минеральных продуктов (83,5 % к уровню 2014 года), а также в сфере финансовой деятельности (91,0 % к уровню 2014 года).</w:t>
      </w:r>
    </w:p>
    <w:p w:rsidR="00A41090" w:rsidRDefault="00A41090">
      <w:pPr>
        <w:pStyle w:val="ConsPlusNormal"/>
        <w:ind w:firstLine="540"/>
        <w:jc w:val="both"/>
      </w:pPr>
      <w:r>
        <w:t>Численность работающих на крупных и средних предприятиях города Перми (без внешних совместителей) за январь-июнь 2016 года уменьшилась на 1,1 % к соответствующему периоду 2015 года и составила 291,7 тыс</w:t>
      </w:r>
      <w:proofErr w:type="gramStart"/>
      <w:r>
        <w:t>.ч</w:t>
      </w:r>
      <w:proofErr w:type="gramEnd"/>
      <w:r>
        <w:t>ел. Наибольшее снижение наблюдалось в сфере обрабатывающих производств (98,8 % к аналогичному периоду 2015 года), в том числе в производстве кокса и нефтепродуктов (96,2 % к аналогичному периоду 2015 года), в производстве пищевых продуктов, включая напитки, и табака (93,3 % к аналогичному периоду 2015 года), в текстильном и швейном производстве (80,0 % к аналогичному периоду 2015 года).</w:t>
      </w:r>
    </w:p>
    <w:p w:rsidR="00A41090" w:rsidRDefault="00A41090">
      <w:pPr>
        <w:pStyle w:val="ConsPlusNormal"/>
        <w:ind w:firstLine="540"/>
        <w:jc w:val="both"/>
      </w:pPr>
      <w:proofErr w:type="gramStart"/>
      <w:r>
        <w:t>В 2016 году наблюдается тенденция к снижению численности работающих на крупных и средних предприятиях города Перми.</w:t>
      </w:r>
      <w:proofErr w:type="gramEnd"/>
      <w:r>
        <w:t xml:space="preserve"> В течение 2016 года среднесписочная численность работников крупных и средних предприятий ежемесячно сокращалась в среднем на 0,3 %.</w:t>
      </w:r>
    </w:p>
    <w:p w:rsidR="00A41090" w:rsidRDefault="00A41090">
      <w:pPr>
        <w:pStyle w:val="ConsPlusNormal"/>
        <w:ind w:firstLine="540"/>
        <w:jc w:val="both"/>
      </w:pPr>
      <w:r>
        <w:t>По оценке на конец 2016 года численность работающих на крупных и средних предприятиях уменьшится по сравнению с 2015 годом: с внешними совместителями составит 305,3 тыс</w:t>
      </w:r>
      <w:proofErr w:type="gramStart"/>
      <w:r>
        <w:t>.ч</w:t>
      </w:r>
      <w:proofErr w:type="gramEnd"/>
      <w:r>
        <w:t>ел., или 98,5 % к уровню 2015 года, без внешних совместителей - 292,8 тыс.чел., или 99,3 % к уровню 2015 года.</w:t>
      </w:r>
    </w:p>
    <w:p w:rsidR="00A41090" w:rsidRDefault="00A41090">
      <w:pPr>
        <w:pStyle w:val="ConsPlusNormal"/>
        <w:ind w:firstLine="540"/>
        <w:jc w:val="both"/>
      </w:pPr>
      <w:r>
        <w:t>Развитие рынка труда в 2017-2019 годах будет проходить в условиях сокращения численности населения в трудоспособном возрасте и в значительной степени определяться общей ситуацией в экономике.</w:t>
      </w:r>
    </w:p>
    <w:p w:rsidR="00A41090" w:rsidRDefault="00A41090">
      <w:pPr>
        <w:pStyle w:val="ConsPlusNormal"/>
        <w:ind w:firstLine="540"/>
        <w:jc w:val="both"/>
      </w:pPr>
      <w:proofErr w:type="gramStart"/>
      <w:r>
        <w:t>В среднесрочной перспективе темпы снижения среднесписочной численности работающих на крупных и средних предприятиях города Перми будут замедляться.</w:t>
      </w:r>
      <w:proofErr w:type="gramEnd"/>
      <w:r>
        <w:t xml:space="preserve"> </w:t>
      </w:r>
      <w:proofErr w:type="gramStart"/>
      <w:r>
        <w:t xml:space="preserve">В связи с вступлением в силу с 01 августа 2016 г. постановления Правительства Российской Федерации от 04 апреля 2016 г.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 </w:t>
      </w:r>
      <w:r>
        <w:lastRenderedPageBreak/>
        <w:t>увеличены предельные значения доходов, что позволит автоматически присваивать статус малого и среднего предприятия юридическим лицам и индивидуальным предпринимателям без дополнительных процедур</w:t>
      </w:r>
      <w:proofErr w:type="gramEnd"/>
      <w:r>
        <w:t xml:space="preserve"> и подтверждающих документов. Принятие закона на федеральном уровне будет способствовать поддержке малого и среднего бизнеса и увеличению численности </w:t>
      </w:r>
      <w:proofErr w:type="gramStart"/>
      <w:r>
        <w:t>работающих</w:t>
      </w:r>
      <w:proofErr w:type="gramEnd"/>
      <w:r>
        <w:t xml:space="preserve"> в данном сегменте рынка.</w:t>
      </w:r>
    </w:p>
    <w:p w:rsidR="00A41090" w:rsidRDefault="00A41090">
      <w:pPr>
        <w:pStyle w:val="ConsPlusNormal"/>
        <w:ind w:firstLine="540"/>
        <w:jc w:val="both"/>
      </w:pPr>
      <w:r>
        <w:t xml:space="preserve">Таким образом, в плановом периоде 2017-2019 годов темпы снижения среднесписочной численности работающих на крупных и средних предприятиях города Перми будут постепенно сокращаться. Изменение численности занятых на крупных и средних </w:t>
      </w:r>
      <w:proofErr w:type="gramStart"/>
      <w:r>
        <w:t>предприятиях</w:t>
      </w:r>
      <w:proofErr w:type="gramEnd"/>
      <w:r>
        <w:t xml:space="preserve"> на протяжении следующих трех лет будет колебаться в пределах 1,0 % к уровню 2016 года.</w:t>
      </w:r>
    </w:p>
    <w:p w:rsidR="00A41090" w:rsidRDefault="00A41090">
      <w:pPr>
        <w:pStyle w:val="ConsPlusNormal"/>
        <w:ind w:firstLine="540"/>
        <w:jc w:val="both"/>
      </w:pPr>
      <w:r>
        <w:t>Крупные и средние предприятия в настоящее время не имеют существенной потребности в увеличении численности работников. При этом в плановом периоде 2017-2019 годов предприятия будут стремиться сохранить численность работников в ожидании улучшения экономической ситуации.</w:t>
      </w:r>
    </w:p>
    <w:p w:rsidR="00A41090" w:rsidRDefault="00A41090">
      <w:pPr>
        <w:pStyle w:val="ConsPlusNormal"/>
        <w:ind w:firstLine="540"/>
        <w:jc w:val="both"/>
      </w:pPr>
      <w:r>
        <w:t xml:space="preserve">Среднесписочная численность работающих на крупных и средних </w:t>
      </w:r>
      <w:proofErr w:type="gramStart"/>
      <w:r>
        <w:t>предприятиях</w:t>
      </w:r>
      <w:proofErr w:type="gramEnd"/>
      <w:r>
        <w:t xml:space="preserve"> (с внешними совместителями) в 2019 году составит к уровню 2016 года по базовому сценарию - 100,1 %, по консервативному сценарию - 100,0 %, по оптимистическому сценарию - 100,3 %.</w:t>
      </w:r>
    </w:p>
    <w:p w:rsidR="00A41090" w:rsidRDefault="00A41090">
      <w:pPr>
        <w:pStyle w:val="ConsPlusNormal"/>
        <w:ind w:firstLine="540"/>
        <w:jc w:val="both"/>
      </w:pPr>
      <w:r>
        <w:t xml:space="preserve">Среднесписочная численность работающих на крупных и средних </w:t>
      </w:r>
      <w:proofErr w:type="gramStart"/>
      <w:r>
        <w:t>предприятиях</w:t>
      </w:r>
      <w:proofErr w:type="gramEnd"/>
      <w:r>
        <w:t xml:space="preserve"> (без внешних совместителей) в 2019 году составит к уровню 2016 года по базовому сценарию - 100,1 %, по консервативному сценарию - 100,0 %, по оптимистическому сценарию - 100,4 %.</w:t>
      </w:r>
    </w:p>
    <w:p w:rsidR="00A41090" w:rsidRDefault="00A41090">
      <w:pPr>
        <w:pStyle w:val="ConsPlusNormal"/>
        <w:ind w:firstLine="540"/>
        <w:jc w:val="both"/>
      </w:pPr>
      <w:r>
        <w:t>По состоянию на 01 августа 2016 года численность безработных граждан составила 3,8 тыс</w:t>
      </w:r>
      <w:proofErr w:type="gramStart"/>
      <w:r>
        <w:t>.ч</w:t>
      </w:r>
      <w:proofErr w:type="gramEnd"/>
      <w:r>
        <w:t>ел., что на 22,8 % меньше, чем в начале 2016 года.</w:t>
      </w:r>
    </w:p>
    <w:p w:rsidR="00A41090" w:rsidRDefault="00A41090">
      <w:pPr>
        <w:pStyle w:val="ConsPlusNormal"/>
        <w:ind w:firstLine="540"/>
        <w:jc w:val="both"/>
      </w:pPr>
      <w:r>
        <w:t>По итогам 2016 года численность безработных оценивается на уровне 4,8 тыс</w:t>
      </w:r>
      <w:proofErr w:type="gramStart"/>
      <w:r>
        <w:t>.ч</w:t>
      </w:r>
      <w:proofErr w:type="gramEnd"/>
      <w:r>
        <w:t>ел. Достаточно высокий уровень безработицы связан со снижением числа лиц, привлекаемых на общественные работы сезонного характера, и с отсутствием потребности крупных и средних предприятий в увеличении численности работников.</w:t>
      </w:r>
    </w:p>
    <w:p w:rsidR="00A41090" w:rsidRDefault="00A41090">
      <w:pPr>
        <w:pStyle w:val="ConsPlusNormal"/>
        <w:ind w:firstLine="540"/>
        <w:jc w:val="both"/>
      </w:pPr>
      <w:r>
        <w:t>В плановом периоде 2017-2019 годов ситуация на рынке труда будет характеризоваться постепенным снижением уровня безработицы, однако темпы ее сокращения будут незначительными. При этом рынок труда будет развиваться под воздействием рисков закрытия или сокращения отдельных производств в условиях нестабильной экономической ситуации.</w:t>
      </w:r>
    </w:p>
    <w:p w:rsidR="00A41090" w:rsidRDefault="00A41090">
      <w:pPr>
        <w:pStyle w:val="ConsPlusNormal"/>
        <w:ind w:firstLine="540"/>
        <w:jc w:val="both"/>
      </w:pPr>
      <w:r>
        <w:t>Данные тенденции учтены при формировании прогноза до 2019 года по численности безработных.</w:t>
      </w:r>
    </w:p>
    <w:p w:rsidR="00A41090" w:rsidRDefault="00A41090">
      <w:pPr>
        <w:pStyle w:val="ConsPlusNormal"/>
        <w:ind w:firstLine="540"/>
        <w:jc w:val="both"/>
      </w:pPr>
      <w:r>
        <w:t>Численность безработных в 2019 году по базовому сценарию снизится до уровня 4,3 тыс</w:t>
      </w:r>
      <w:proofErr w:type="gramStart"/>
      <w:r>
        <w:t>.ч</w:t>
      </w:r>
      <w:proofErr w:type="gramEnd"/>
      <w:r>
        <w:t>ел. и составит 89,6 % к уровню 2016 года, по консервативному сценарию составит 4,5 тыс.чел., или 93,8 % к числу безработных в 2016 году, по оптимистическому сценарию число безработных снизится до 3,9 тыс.чел., что составит 81,3 % к уровню 2016 года.</w:t>
      </w:r>
    </w:p>
    <w:p w:rsidR="00A41090" w:rsidRDefault="00A41090">
      <w:pPr>
        <w:pStyle w:val="ConsPlusNormal"/>
        <w:ind w:firstLine="540"/>
        <w:jc w:val="both"/>
      </w:pPr>
      <w:r>
        <w:t>Изменение тенденций по сравнению с Прогнозом 2016-2018 годов связано с ограничением доступности кредитных ресурсов для предприятий (в том числе на текущую деятельность), падением спроса на производимую продукцию, что может привести к сокращению персонала на предприятиях.</w:t>
      </w:r>
    </w:p>
    <w:p w:rsidR="00A41090" w:rsidRDefault="00A41090">
      <w:pPr>
        <w:pStyle w:val="ConsPlusNormal"/>
        <w:ind w:firstLine="540"/>
        <w:jc w:val="both"/>
      </w:pPr>
    </w:p>
    <w:p w:rsidR="00A41090" w:rsidRDefault="00A41090">
      <w:pPr>
        <w:pStyle w:val="ConsPlusNormal"/>
        <w:jc w:val="center"/>
      </w:pPr>
      <w:r>
        <w:t>IV. Промышленность</w:t>
      </w:r>
    </w:p>
    <w:p w:rsidR="00A41090" w:rsidRDefault="00A41090">
      <w:pPr>
        <w:pStyle w:val="ConsPlusNormal"/>
        <w:ind w:firstLine="540"/>
        <w:jc w:val="both"/>
      </w:pPr>
    </w:p>
    <w:p w:rsidR="00A41090" w:rsidRDefault="00A41090">
      <w:pPr>
        <w:pStyle w:val="ConsPlusNormal"/>
        <w:ind w:firstLine="540"/>
        <w:jc w:val="both"/>
      </w:pPr>
      <w:r>
        <w:t>По итогам 2015 года оборот организаций снизился на 5,0 %, составив  1028,4 млрд</w:t>
      </w:r>
      <w:proofErr w:type="gramStart"/>
      <w:r>
        <w:t>.р</w:t>
      </w:r>
      <w:proofErr w:type="gramEnd"/>
      <w:r>
        <w:t>уб., объем отгруженной продукции собственного производства снизился на 2,0 %, составив 710,1 млрд.руб.</w:t>
      </w:r>
    </w:p>
    <w:p w:rsidR="00A41090" w:rsidRDefault="00A41090">
      <w:pPr>
        <w:pStyle w:val="ConsPlusNormal"/>
        <w:ind w:firstLine="540"/>
        <w:jc w:val="both"/>
      </w:pPr>
      <w:r>
        <w:t>В январе-июле 2016 года оборот крупных и средних предприятий составил 560,7 млрд</w:t>
      </w:r>
      <w:proofErr w:type="gramStart"/>
      <w:r>
        <w:t>.р</w:t>
      </w:r>
      <w:proofErr w:type="gramEnd"/>
      <w:r>
        <w:t>уб., или 98,8 % к аналогичному периоду 2015 года. Значительное снижение оборота крупных и средних предприятий наблюдалось в отраслях обрабатывающих производств, таких, как производство кокса и нефтепродуктов (98,6 % к аналогичному периоду 2015 года), целлюлозно-бумажное производство, издательская и полиграфическая деятельность (85,6 % к аналогичному периоду 2015 года), производство машин и оборудования (83,0 % к аналогичному периоду 2015 года).</w:t>
      </w:r>
    </w:p>
    <w:p w:rsidR="00A41090" w:rsidRDefault="00A41090">
      <w:pPr>
        <w:pStyle w:val="ConsPlusNormal"/>
        <w:ind w:firstLine="540"/>
        <w:jc w:val="both"/>
      </w:pPr>
      <w:r>
        <w:t>В январе-июле 2016 года объем отгруженных товаров собственного производства составил 384,7 млрд</w:t>
      </w:r>
      <w:proofErr w:type="gramStart"/>
      <w:r>
        <w:t>.р</w:t>
      </w:r>
      <w:proofErr w:type="gramEnd"/>
      <w:r>
        <w:t xml:space="preserve">уб., или 100,1 % к аналогичному периоду 2015 года. </w:t>
      </w:r>
      <w:proofErr w:type="gramStart"/>
      <w:r>
        <w:t xml:space="preserve">Значительное снижение объема </w:t>
      </w:r>
      <w:r>
        <w:lastRenderedPageBreak/>
        <w:t>отгруженных товаров собственного производства наблюдалось в отраслях обрабатывающих производств, таких, как производство кокса и нефтепродуктов (97,1 % к аналогичному периоду 2015 года), производство транспортных средств и оборудования (94,0 % к аналогичному периоду 2015 года), целлюлозно-бумажное производство, издательская и полиграфическая деятельность (90,0 % к аналогичному периоду 2015 года), а также в строительной отрасли (80,8 % к аналогичному периоду 2015 года).</w:t>
      </w:r>
      <w:proofErr w:type="gramEnd"/>
    </w:p>
    <w:p w:rsidR="00A41090" w:rsidRDefault="00A41090">
      <w:pPr>
        <w:pStyle w:val="ConsPlusNormal"/>
        <w:ind w:firstLine="540"/>
        <w:jc w:val="both"/>
      </w:pPr>
      <w:r>
        <w:t>Одной из проблем 2016 года является неблагоприятная для российских экспортеров ценовая конъюнктура мировых рынков и сокращение располагаемых доходов у российских потребителей импортной продукции, поэтому основным источником покрытия внутреннего спроса будет становиться отечественное производство.</w:t>
      </w:r>
    </w:p>
    <w:p w:rsidR="00A41090" w:rsidRDefault="00A41090">
      <w:pPr>
        <w:pStyle w:val="ConsPlusNormal"/>
        <w:ind w:firstLine="540"/>
        <w:jc w:val="both"/>
      </w:pPr>
      <w:r>
        <w:t>По оценке в 2016 году оборот крупных и средних предприятий составит 1016,4 млрд</w:t>
      </w:r>
      <w:proofErr w:type="gramStart"/>
      <w:r>
        <w:t>.р</w:t>
      </w:r>
      <w:proofErr w:type="gramEnd"/>
      <w:r>
        <w:t>уб., или 98,8 % к уровню 2015 года. Объем отгруженной продукции собственного производства составит 715,2 млрд</w:t>
      </w:r>
      <w:proofErr w:type="gramStart"/>
      <w:r>
        <w:t>.р</w:t>
      </w:r>
      <w:proofErr w:type="gramEnd"/>
      <w:r>
        <w:t>уб., или 100,7 % к уровню  2015 года.</w:t>
      </w:r>
    </w:p>
    <w:p w:rsidR="00A41090" w:rsidRDefault="00A41090">
      <w:pPr>
        <w:pStyle w:val="ConsPlusNormal"/>
        <w:ind w:firstLine="540"/>
        <w:jc w:val="both"/>
      </w:pPr>
      <w:proofErr w:type="gramStart"/>
      <w:r>
        <w:t>В плановом периоде 2017-2019 годов на развитие промышленного производства существенное влияние будет оказывать внешнеполитическая ситуация и влияние применяемых в отношении российской экономики санкций со стороны США и Европейского союза.</w:t>
      </w:r>
      <w:proofErr w:type="gramEnd"/>
      <w:r>
        <w:t xml:space="preserve"> </w:t>
      </w:r>
      <w:proofErr w:type="gramStart"/>
      <w:r>
        <w:t>При этом основной причиной сдержанного роста промышленности является низкий уровень процессов технологического обновления, и недостаточная конкурентоспособность отечественной продукции на внутреннем и внешнем рынках.</w:t>
      </w:r>
      <w:proofErr w:type="gramEnd"/>
    </w:p>
    <w:p w:rsidR="00A41090" w:rsidRDefault="00A41090">
      <w:pPr>
        <w:pStyle w:val="ConsPlusNormal"/>
        <w:ind w:firstLine="540"/>
        <w:jc w:val="both"/>
      </w:pPr>
      <w:r>
        <w:t xml:space="preserve">Одним из факторов восстановления промышленности в прогнозируемый период станет улучшение ситуации в производстве товаров потребительского спроса. Рост продолжится в пищевой промышленности с учетом реализации программ </w:t>
      </w:r>
      <w:proofErr w:type="spellStart"/>
      <w:r>
        <w:t>импортозамещения</w:t>
      </w:r>
      <w:proofErr w:type="spellEnd"/>
      <w:r>
        <w:t>. Позитивная динамика появится в отраслях легкой промышленности.</w:t>
      </w:r>
    </w:p>
    <w:p w:rsidR="00A41090" w:rsidRDefault="00A41090">
      <w:pPr>
        <w:pStyle w:val="ConsPlusNormal"/>
        <w:ind w:firstLine="540"/>
        <w:jc w:val="both"/>
      </w:pPr>
      <w:r>
        <w:t>Рост оборота крупных и средних предприятий в 2019 году по отношению к 2016 году по базовому сценарию составит 104,0 %, по консервативному сценарию - 102,0 %, по оптимистическому сценарию - 107,0 %.</w:t>
      </w:r>
    </w:p>
    <w:p w:rsidR="00A41090" w:rsidRDefault="00A41090">
      <w:pPr>
        <w:pStyle w:val="ConsPlusNormal"/>
        <w:ind w:firstLine="540"/>
        <w:jc w:val="both"/>
      </w:pPr>
      <w:r>
        <w:t>Рост объема отгруженной продукции собственного производства в 2019 году по отношению к 2016 году по базовому сценарию составит 104,2 %, по консервативному сценарию - 102,1 %, по оптимистическому сценарию - 106,8 %.</w:t>
      </w:r>
    </w:p>
    <w:p w:rsidR="00A41090" w:rsidRDefault="00A41090">
      <w:pPr>
        <w:pStyle w:val="ConsPlusNormal"/>
        <w:ind w:firstLine="540"/>
        <w:jc w:val="both"/>
      </w:pPr>
      <w:proofErr w:type="gramStart"/>
      <w:r>
        <w:t>Изменение темпов роста показателей оборота крупных и средних предприятий и объема отгруженной продукции собственного производства по сравнению с Прогнозом 2016-2018 годов связано с сохраняющимся геополитическим напряжением, которое оказывает негативное влияние на промышленный сектор как в отношении производственной деятельности, так и в отношении реализации продукции на российском и зарубежном рынках.</w:t>
      </w:r>
      <w:proofErr w:type="gramEnd"/>
    </w:p>
    <w:p w:rsidR="00A41090" w:rsidRDefault="00A41090">
      <w:pPr>
        <w:pStyle w:val="ConsPlusNormal"/>
        <w:ind w:firstLine="540"/>
        <w:jc w:val="both"/>
      </w:pPr>
      <w:r>
        <w:t xml:space="preserve">Динамика роста основных производственных фондов скорректирована в связи с уточнением </w:t>
      </w:r>
      <w:proofErr w:type="spellStart"/>
      <w:r>
        <w:t>Пермьстат</w:t>
      </w:r>
      <w:proofErr w:type="spellEnd"/>
      <w:r>
        <w:t xml:space="preserve"> статистических данных за 2014-2015 годы. Индекс роста основных производственных фондов в 2016 году ожидается на уровне 116,0 %. В 2019 году рост основных производственных фондов по базовому сценарию составит 127,8 % по сравнению с 2016 годом, по консервативному сценарию - 125,5 %, по оптимистическому сценарию - 129,0 %.</w:t>
      </w:r>
    </w:p>
    <w:p w:rsidR="00A41090" w:rsidRDefault="00A41090">
      <w:pPr>
        <w:pStyle w:val="ConsPlusNormal"/>
        <w:ind w:firstLine="540"/>
        <w:jc w:val="both"/>
      </w:pPr>
    </w:p>
    <w:p w:rsidR="00A41090" w:rsidRDefault="00A41090">
      <w:pPr>
        <w:pStyle w:val="ConsPlusNormal"/>
        <w:jc w:val="center"/>
      </w:pPr>
      <w:r>
        <w:t>V. Потребительский рынок</w:t>
      </w:r>
    </w:p>
    <w:p w:rsidR="00A41090" w:rsidRDefault="00A41090">
      <w:pPr>
        <w:pStyle w:val="ConsPlusNormal"/>
        <w:jc w:val="center"/>
      </w:pPr>
    </w:p>
    <w:p w:rsidR="00A41090" w:rsidRDefault="00A41090">
      <w:pPr>
        <w:pStyle w:val="ConsPlusNormal"/>
        <w:ind w:firstLine="540"/>
        <w:jc w:val="both"/>
      </w:pPr>
      <w:r>
        <w:t>По итогам 2015 года оборот розничной торговли составил 324,2 млрд</w:t>
      </w:r>
      <w:proofErr w:type="gramStart"/>
      <w:r>
        <w:t>.р</w:t>
      </w:r>
      <w:proofErr w:type="gramEnd"/>
      <w:r>
        <w:t>уб., или 85,7 % к уровню 2014 года в сопоставимых ценах.</w:t>
      </w:r>
    </w:p>
    <w:p w:rsidR="00A41090" w:rsidRDefault="00A41090">
      <w:pPr>
        <w:pStyle w:val="ConsPlusNormal"/>
        <w:ind w:firstLine="540"/>
        <w:jc w:val="both"/>
      </w:pPr>
      <w:r>
        <w:t>Динамика развития потребительского рынка в первом полугодии 2016 года характеризовалась замедлением потребительского спроса (89,2 % к аналогичному периоду 2015 года в сопоставимых ценах).</w:t>
      </w:r>
    </w:p>
    <w:p w:rsidR="00A41090" w:rsidRDefault="00A41090">
      <w:pPr>
        <w:pStyle w:val="ConsPlusNormal"/>
        <w:ind w:firstLine="540"/>
        <w:jc w:val="both"/>
      </w:pPr>
      <w:r>
        <w:t>В 2016 году на потребительский рынок продолжают оказывать влияние такие факторы, как сокращение доходов населения на фоне неустойчивого курса российского рубля и роста цен на товары. В результате оборот розничной торговли по оценке 2016 года составит около 326,0 млрд</w:t>
      </w:r>
      <w:proofErr w:type="gramStart"/>
      <w:r>
        <w:t>.р</w:t>
      </w:r>
      <w:proofErr w:type="gramEnd"/>
      <w:r>
        <w:t>уб., снижение к уровню  2015 года составит 6,5 % в сопоставимых ценах.</w:t>
      </w:r>
    </w:p>
    <w:p w:rsidR="00A41090" w:rsidRDefault="00A41090">
      <w:pPr>
        <w:pStyle w:val="ConsPlusNormal"/>
        <w:ind w:firstLine="540"/>
        <w:jc w:val="both"/>
      </w:pPr>
      <w:r>
        <w:t xml:space="preserve">По мере достаточно сдержанного роста доходов населения и восстановления потребительского кредитования в 2017-2019 годах динамика потребительского спроса населения будет восстанавливаться. Одновременно будет наблюдаться дальнейшее насыщение рынка </w:t>
      </w:r>
      <w:r>
        <w:lastRenderedPageBreak/>
        <w:t>товарами как российского, так и импортного производства, более весомая поддержка малого и среднего бизнеса.</w:t>
      </w:r>
    </w:p>
    <w:p w:rsidR="00A41090" w:rsidRDefault="00A41090">
      <w:pPr>
        <w:pStyle w:val="ConsPlusNormal"/>
        <w:ind w:firstLine="540"/>
        <w:jc w:val="both"/>
      </w:pPr>
      <w:r>
        <w:t>Рост розничного товарооборота в 2019 году по отношению к 2016 году составит 113,4 % - по базовому сценарию, 109,4 % - по консервативному сценарию, 116,8 % - по оптимистическому сценарию.</w:t>
      </w:r>
    </w:p>
    <w:p w:rsidR="00A41090" w:rsidRDefault="00A41090">
      <w:pPr>
        <w:pStyle w:val="ConsPlusNormal"/>
        <w:ind w:firstLine="540"/>
        <w:jc w:val="both"/>
      </w:pPr>
      <w:r>
        <w:t>По итогам 2015 года оборот общественного питания составил 17,3 млрд</w:t>
      </w:r>
      <w:proofErr w:type="gramStart"/>
      <w:r>
        <w:t>.р</w:t>
      </w:r>
      <w:proofErr w:type="gramEnd"/>
      <w:r>
        <w:t>уб., или 81,1 % к уровню 2014 года в сопоставимых ценах.</w:t>
      </w:r>
    </w:p>
    <w:p w:rsidR="00A41090" w:rsidRDefault="00A41090">
      <w:pPr>
        <w:pStyle w:val="ConsPlusNormal"/>
        <w:ind w:firstLine="540"/>
        <w:jc w:val="both"/>
      </w:pPr>
      <w:r>
        <w:t>Оборот общественного питания в 2016 году продолжает характеризоваться отрицательной динамикой. В первом полугодии 2016 года оборот общественного питания составил 8,1 млрд</w:t>
      </w:r>
      <w:proofErr w:type="gramStart"/>
      <w:r>
        <w:t>.р</w:t>
      </w:r>
      <w:proofErr w:type="gramEnd"/>
      <w:r>
        <w:t>уб., или 79,6 % к аналогичному периоду 2015 года в сопоставимых ценах. Основной причиной сохранения отрицательной динамики оборота общественного питания остается сокращение доходов населения. Еще одна причина - банкротство убыточных заведений. При этом продолжают открываться новые площадки общественного питания, но более дешевого сегмента - кафе, столовые, заведения с возможностью доставки еды домой.</w:t>
      </w:r>
    </w:p>
    <w:p w:rsidR="00A41090" w:rsidRDefault="00A41090">
      <w:pPr>
        <w:pStyle w:val="ConsPlusNormal"/>
        <w:ind w:firstLine="540"/>
        <w:jc w:val="both"/>
      </w:pPr>
      <w:r>
        <w:t>В среднесрочной перспективе темпы падения на рынке общественного питания будут замедляться на фоне сдержанного роста доходов, но динамика оборота общественного питания будет оставаться в области отрицательных значений.</w:t>
      </w:r>
    </w:p>
    <w:p w:rsidR="00A41090" w:rsidRDefault="00A41090">
      <w:pPr>
        <w:pStyle w:val="ConsPlusNormal"/>
        <w:ind w:firstLine="540"/>
        <w:jc w:val="both"/>
      </w:pPr>
      <w:r>
        <w:t>Таким образом, оборот общественного питания в 2016 году составит 17,5 млрд</w:t>
      </w:r>
      <w:proofErr w:type="gramStart"/>
      <w:r>
        <w:t>.р</w:t>
      </w:r>
      <w:proofErr w:type="gramEnd"/>
      <w:r>
        <w:t>уб., или 93,9 % к уровню 2015 года в сопоставимых ценах.</w:t>
      </w:r>
    </w:p>
    <w:p w:rsidR="00A41090" w:rsidRDefault="00A41090">
      <w:pPr>
        <w:pStyle w:val="ConsPlusNormal"/>
        <w:ind w:firstLine="540"/>
        <w:jc w:val="both"/>
      </w:pPr>
      <w:r>
        <w:t>В плановом периоде оборот общественного питания прогнозируется в 2019 году по отношению к 2016 году на уровне 111,1 % - по базовому сценарию, 106,0 % - по консервативному сценарию, 117,7 % - по оптимистическому сценарию.</w:t>
      </w:r>
    </w:p>
    <w:p w:rsidR="00A41090" w:rsidRDefault="00A41090">
      <w:pPr>
        <w:pStyle w:val="ConsPlusNormal"/>
        <w:ind w:firstLine="540"/>
        <w:jc w:val="both"/>
      </w:pPr>
      <w:r>
        <w:t>Изменение прогнозных значений оборота розничной торговли и оборота общественного питания по сравнению с Прогнозом 2016-2018 годов связано  с сокращением реальных доходов населения и, как следствие, снижением потребительского спроса.</w:t>
      </w:r>
    </w:p>
    <w:p w:rsidR="00A41090" w:rsidRDefault="00A41090">
      <w:pPr>
        <w:pStyle w:val="ConsPlusNormal"/>
        <w:ind w:firstLine="540"/>
        <w:jc w:val="both"/>
      </w:pPr>
    </w:p>
    <w:p w:rsidR="00A41090" w:rsidRDefault="00A41090">
      <w:pPr>
        <w:pStyle w:val="ConsPlusNormal"/>
        <w:jc w:val="center"/>
      </w:pPr>
      <w:r>
        <w:t>VI. Финансы</w:t>
      </w:r>
    </w:p>
    <w:p w:rsidR="00A41090" w:rsidRDefault="00A41090">
      <w:pPr>
        <w:pStyle w:val="ConsPlusNormal"/>
        <w:jc w:val="center"/>
      </w:pPr>
    </w:p>
    <w:p w:rsidR="00A41090" w:rsidRDefault="00A41090">
      <w:pPr>
        <w:pStyle w:val="ConsPlusNormal"/>
        <w:ind w:firstLine="540"/>
        <w:jc w:val="both"/>
      </w:pPr>
      <w:r>
        <w:t>По итогам 2015 года сальдированный финансовый результат крупных и средних предприятий и организаций города Перми (прибыль минус убыток) составил 139,1 млрд</w:t>
      </w:r>
      <w:proofErr w:type="gramStart"/>
      <w:r>
        <w:t>.р</w:t>
      </w:r>
      <w:proofErr w:type="gramEnd"/>
      <w:r>
        <w:t>уб., или 118,8 % к уровню 2014 года. Наибольший вклад в рост совокупной прибыли крупных и средних предприятий и организаций города Перми внесли отрасли обрабатывающих производств, такие, как металлическое производство и производство готовых металлических изделий (420,0 % к уровню 2014 года), текстильное и швейное производство (320,0 % к уровню 2014 года), химическое производство (199,8 % к уровню 2014 года).</w:t>
      </w:r>
    </w:p>
    <w:p w:rsidR="00A41090" w:rsidRDefault="00A41090">
      <w:pPr>
        <w:pStyle w:val="ConsPlusNormal"/>
        <w:ind w:firstLine="540"/>
        <w:jc w:val="both"/>
      </w:pPr>
      <w:r>
        <w:t xml:space="preserve">В первом полугодии 2016 года сальдированный финансовый результат крупных и средних предприятий и организаций города Перми сократился на 25,6 % по сравнению с аналогичным периодом 2015 года. </w:t>
      </w:r>
      <w:proofErr w:type="gramStart"/>
      <w:r>
        <w:t>Значительно снижение сальдированного финансового результата крупных и средних предприятий и организаций города Перми наблюдалось в отраслях обрабатывающих производств, таких, как химическое производство (63,4 % к аналогичному периоду 2015 года), производство кокса и нефтепродуктов (34,2 % к аналогичному периоду 2015 года), обработка древесины и производство изделий из дерева (29,7 % к аналогичному периоду 2015 года), а также в строительной деятельности (28,1 % к аналогичному периоду</w:t>
      </w:r>
      <w:proofErr w:type="gramEnd"/>
      <w:r>
        <w:t xml:space="preserve"> </w:t>
      </w:r>
      <w:proofErr w:type="gramStart"/>
      <w:r>
        <w:t>2015 года).</w:t>
      </w:r>
      <w:proofErr w:type="gramEnd"/>
    </w:p>
    <w:p w:rsidR="00A41090" w:rsidRDefault="00A41090">
      <w:pPr>
        <w:pStyle w:val="ConsPlusNormal"/>
        <w:ind w:firstLine="540"/>
        <w:jc w:val="both"/>
      </w:pPr>
      <w:r>
        <w:t>Высокая стоимость заемных ресурсов, удорожание импортируемых товаров, рост долговой нагрузки и общая экономическая неуверенность субъектов экономической деятельности окажут негативное влияние на объем совокупной прибыли предприятий.</w:t>
      </w:r>
    </w:p>
    <w:p w:rsidR="00A41090" w:rsidRDefault="00A41090">
      <w:pPr>
        <w:pStyle w:val="ConsPlusNormal"/>
        <w:ind w:firstLine="540"/>
        <w:jc w:val="both"/>
      </w:pPr>
      <w:r>
        <w:t>По оценке 2016 года совокупная прибыль крупных и средних предприятий и организаций города Перми прогнозируется в размере 115,1 млрд</w:t>
      </w:r>
      <w:proofErr w:type="gramStart"/>
      <w:r>
        <w:t>.р</w:t>
      </w:r>
      <w:proofErr w:type="gramEnd"/>
      <w:r>
        <w:t>уб., или 82,8 % к уровню 2015 года.</w:t>
      </w:r>
    </w:p>
    <w:p w:rsidR="00A41090" w:rsidRDefault="00A41090">
      <w:pPr>
        <w:pStyle w:val="ConsPlusNormal"/>
        <w:ind w:firstLine="540"/>
        <w:jc w:val="both"/>
      </w:pPr>
      <w:r>
        <w:t>В условиях сдержанного роста промышленного производства и нестабильной внешнеэкономической ситуации в плановом периоде прогнозируются невысокие темпы роста прибыли крупных и средних предприятий города Перми по сравнению с Прогнозом 2016-2018 годов.</w:t>
      </w:r>
    </w:p>
    <w:p w:rsidR="00A41090" w:rsidRDefault="00A41090">
      <w:pPr>
        <w:pStyle w:val="ConsPlusNormal"/>
        <w:ind w:firstLine="540"/>
        <w:jc w:val="both"/>
      </w:pPr>
      <w:r>
        <w:t>В 2019 году по базовому сценарию рост составит 108,5 % к уровню 2016 года, по консервативному сценарию - 104,7 % по оптимистическому сценарию - 115,5 %.</w:t>
      </w:r>
    </w:p>
    <w:p w:rsidR="00A41090" w:rsidRDefault="00A41090">
      <w:pPr>
        <w:pStyle w:val="ConsPlusNormal"/>
        <w:ind w:firstLine="540"/>
        <w:jc w:val="both"/>
      </w:pPr>
    </w:p>
    <w:p w:rsidR="00A41090" w:rsidRDefault="00A41090">
      <w:pPr>
        <w:pStyle w:val="ConsPlusNormal"/>
        <w:jc w:val="center"/>
      </w:pPr>
      <w:r>
        <w:t>VII. Инвестиции</w:t>
      </w:r>
    </w:p>
    <w:p w:rsidR="00A41090" w:rsidRDefault="00A41090">
      <w:pPr>
        <w:pStyle w:val="ConsPlusNormal"/>
        <w:jc w:val="center"/>
      </w:pPr>
    </w:p>
    <w:p w:rsidR="00A41090" w:rsidRDefault="00A41090">
      <w:pPr>
        <w:pStyle w:val="ConsPlusNormal"/>
        <w:ind w:firstLine="540"/>
        <w:jc w:val="both"/>
      </w:pPr>
      <w:r>
        <w:t>В 2015 году наблюдалось замедление темпов инвестиционной деятельности организаций на фоне напряженной геополитической обстановки и продолжающегося снижения цен на нефть.</w:t>
      </w:r>
    </w:p>
    <w:p w:rsidR="00A41090" w:rsidRDefault="00A41090">
      <w:pPr>
        <w:pStyle w:val="ConsPlusNormal"/>
        <w:ind w:firstLine="540"/>
        <w:jc w:val="both"/>
      </w:pPr>
      <w:r>
        <w:t>За первое полугодие 2016 года объем инвестиций в основной капитал достиг 34,0 млрд</w:t>
      </w:r>
      <w:proofErr w:type="gramStart"/>
      <w:r>
        <w:t>.р</w:t>
      </w:r>
      <w:proofErr w:type="gramEnd"/>
      <w:r>
        <w:t>уб., или 72,8 % к аналогичному периоду 2015 года. Снижение объема инвестиций в основной капитал связано с ухудшением доступности кредитных ресурсов, удорожанием импортируемых инвестиционных товаров, ростом долговой нагрузки и общей экономической неуверенностью инвесторов.</w:t>
      </w:r>
    </w:p>
    <w:p w:rsidR="00A41090" w:rsidRDefault="00A41090">
      <w:pPr>
        <w:pStyle w:val="ConsPlusNormal"/>
        <w:ind w:firstLine="540"/>
        <w:jc w:val="both"/>
      </w:pPr>
      <w:r>
        <w:t>По оценке объем инвестиций в основной капитал по итогам 2016 года составит 93,8 млрд</w:t>
      </w:r>
      <w:proofErr w:type="gramStart"/>
      <w:r>
        <w:t>.р</w:t>
      </w:r>
      <w:proofErr w:type="gramEnd"/>
      <w:r>
        <w:t>уб., или 83,4 % к уровню 2015 года.</w:t>
      </w:r>
    </w:p>
    <w:p w:rsidR="00A41090" w:rsidRDefault="00A41090">
      <w:pPr>
        <w:pStyle w:val="ConsPlusNormal"/>
        <w:ind w:firstLine="540"/>
        <w:jc w:val="both"/>
      </w:pPr>
      <w:r>
        <w:t>Рост инвестиций в основной капитал в 2017-2019 годах будет определяться возможностью возобновления роста инвестиций частных компаний, в том числе за счет увеличения доли банковских кредитов в структуре источников финансирования инвестиций и постепенного повышения доступности кредитных ресурсов на фоне сокращения государственных инвестиционных расходов.</w:t>
      </w:r>
    </w:p>
    <w:p w:rsidR="00A41090" w:rsidRDefault="00A41090">
      <w:pPr>
        <w:pStyle w:val="ConsPlusNormal"/>
        <w:ind w:firstLine="540"/>
        <w:jc w:val="both"/>
      </w:pPr>
      <w:r>
        <w:t>Корректировка объема капитальных вложений предприятий и организаций по сравнению с Прогнозом 2016-2018 годов связана со снижением цен на нефть и сохранением достаточно дорогих кредитных ресурсов.</w:t>
      </w:r>
    </w:p>
    <w:p w:rsidR="00A41090" w:rsidRDefault="00A41090">
      <w:pPr>
        <w:pStyle w:val="ConsPlusNormal"/>
        <w:ind w:firstLine="540"/>
        <w:jc w:val="both"/>
      </w:pPr>
      <w:r>
        <w:t>Рост объема капитальных вложений предприятий и организаций в 2019 году по отношению к 2016 году по базовому сценарию составит 106,8 %, по консервативному сценарию - 101,8 %, по оптимистическому сценарию - 113,9 %.</w:t>
      </w:r>
    </w:p>
    <w:p w:rsidR="00A41090" w:rsidRDefault="00A41090">
      <w:pPr>
        <w:pStyle w:val="ConsPlusNormal"/>
        <w:ind w:firstLine="540"/>
        <w:jc w:val="both"/>
      </w:pPr>
    </w:p>
    <w:p w:rsidR="00A41090" w:rsidRDefault="00A41090">
      <w:pPr>
        <w:pStyle w:val="ConsPlusNormal"/>
        <w:jc w:val="center"/>
      </w:pPr>
      <w:r>
        <w:t>VIII. Цены и тарифы</w:t>
      </w:r>
    </w:p>
    <w:p w:rsidR="00A41090" w:rsidRDefault="00A41090">
      <w:pPr>
        <w:pStyle w:val="ConsPlusNormal"/>
        <w:jc w:val="center"/>
      </w:pPr>
    </w:p>
    <w:p w:rsidR="00A41090" w:rsidRDefault="00A41090">
      <w:pPr>
        <w:pStyle w:val="ConsPlusNormal"/>
        <w:ind w:firstLine="540"/>
        <w:jc w:val="both"/>
      </w:pPr>
      <w:r>
        <w:t xml:space="preserve">По итогам 2015 года индекс потребительских цен составил 114,6 % к уровню 2014 года. Потребительская инфляция стала набирать темп с августа 2014 года после введения </w:t>
      </w:r>
      <w:proofErr w:type="spellStart"/>
      <w:r>
        <w:t>контрсанкций</w:t>
      </w:r>
      <w:proofErr w:type="spellEnd"/>
      <w:r>
        <w:t xml:space="preserve"> по ограничению продовольственного импорта, а также в результате девальвации рубля, резко усилившейся в конце 2014 года.</w:t>
      </w:r>
    </w:p>
    <w:p w:rsidR="00A41090" w:rsidRDefault="00A41090">
      <w:pPr>
        <w:pStyle w:val="ConsPlusNormal"/>
        <w:ind w:firstLine="540"/>
        <w:jc w:val="both"/>
      </w:pPr>
      <w:r>
        <w:t xml:space="preserve">Индекс потребительских цен в 2016 году оценивается на уровне 107,6 %. Значительное снижение инфляции в 2016 году </w:t>
      </w:r>
      <w:proofErr w:type="gramStart"/>
      <w:r>
        <w:t>связано</w:t>
      </w:r>
      <w:proofErr w:type="gramEnd"/>
      <w:r>
        <w:t xml:space="preserve"> прежде всего со снижением реальных доходов населения на протяжении 2014-2015 годов и низким потребительским спросом. Также инфляцию сдерживают высокие процентные ставки, сокращение кредитования экономики со стороны финансовых институтов, стабилизация курса национальной валюты.</w:t>
      </w:r>
    </w:p>
    <w:p w:rsidR="00A41090" w:rsidRDefault="00A41090">
      <w:pPr>
        <w:pStyle w:val="ConsPlusNormal"/>
        <w:ind w:firstLine="540"/>
        <w:jc w:val="both"/>
      </w:pPr>
      <w:r>
        <w:t>В перспективе замедление индекса потребительских цен продолжится, но более умеренными темпами (с 107,6 % в 2016 году до 106,7 % в 2019 году) согласно Сценарным условиям для формирования вариантов развития и основных показателей прогноза социально-экономического развития Пермского края на период до 2019 года, утвержденным губернатором Пермского края 08 июля 2016 г</w:t>
      </w:r>
    </w:p>
    <w:p w:rsidR="00A41090" w:rsidRDefault="00A41090">
      <w:pPr>
        <w:pStyle w:val="ConsPlusNormal"/>
        <w:ind w:firstLine="540"/>
        <w:jc w:val="both"/>
      </w:pPr>
      <w:r>
        <w:t>Изменение тарифов на тепловую и электрическую энергию в 2017-2019 годах соответствует прогнозным значениям Сценарных условий для формирования вариантов развития и основных показателей прогноза социально-экономического развития Пермского края на период до 2019 года, утвержденных губернатором Пермского края 08 июля 2016 г.</w:t>
      </w:r>
    </w:p>
    <w:p w:rsidR="00A41090" w:rsidRDefault="00A41090">
      <w:pPr>
        <w:pStyle w:val="ConsPlusNormal"/>
        <w:ind w:firstLine="540"/>
        <w:jc w:val="both"/>
      </w:pPr>
      <w:r>
        <w:t>Изменения цены на нефть и курса доллара США в 2017-2019 годах соответствуют прогнозным значениям Сценарных условий, основных параметров прогноза социально-экономического развития Российской Федерации на 2017 год и на плановый период 2018 и 2019 годов от 06 мая 2016 г.</w:t>
      </w:r>
    </w:p>
    <w:p w:rsidR="00A41090" w:rsidRDefault="00A41090">
      <w:pPr>
        <w:pStyle w:val="ConsPlusNormal"/>
        <w:jc w:val="center"/>
      </w:pPr>
    </w:p>
    <w:p w:rsidR="00A41090" w:rsidRDefault="00A41090">
      <w:pPr>
        <w:pStyle w:val="ConsPlusNormal"/>
        <w:jc w:val="center"/>
      </w:pPr>
      <w:r>
        <w:t>IX. Демография</w:t>
      </w:r>
    </w:p>
    <w:p w:rsidR="00A41090" w:rsidRDefault="00A41090">
      <w:pPr>
        <w:pStyle w:val="ConsPlusNormal"/>
        <w:jc w:val="center"/>
      </w:pPr>
    </w:p>
    <w:p w:rsidR="00A41090" w:rsidRDefault="00A41090">
      <w:pPr>
        <w:pStyle w:val="ConsPlusNormal"/>
        <w:ind w:firstLine="540"/>
        <w:jc w:val="both"/>
      </w:pPr>
      <w:proofErr w:type="gramStart"/>
      <w:r>
        <w:t xml:space="preserve">Демографическую ситуацию в ближайшей перспективе будут определять меры по реализации Концепции демографической политики Российской Федерации на период до 2025 года в рамках реализации положений Указа Президента Российской Федерации от 07 мая 2012 г. </w:t>
      </w:r>
      <w:r>
        <w:lastRenderedPageBreak/>
        <w:t>N 606 "О мерах по реализации демографической политики Российской Федерации", а также предпринимаемые меры в сфере здравоохранения в рамках приоритетного национального проекта "Здоровье".</w:t>
      </w:r>
      <w:proofErr w:type="gramEnd"/>
    </w:p>
    <w:p w:rsidR="00A41090" w:rsidRDefault="00A41090">
      <w:pPr>
        <w:pStyle w:val="ConsPlusNormal"/>
        <w:ind w:firstLine="540"/>
        <w:jc w:val="both"/>
      </w:pPr>
      <w:r>
        <w:t>Основными факторами, способствующими росту численности населения, являются положительный естественный прирост населения и миграционный прирост.</w:t>
      </w:r>
    </w:p>
    <w:p w:rsidR="00A41090" w:rsidRDefault="00A41090">
      <w:pPr>
        <w:pStyle w:val="ConsPlusNormal"/>
        <w:ind w:firstLine="540"/>
        <w:jc w:val="both"/>
      </w:pPr>
      <w:r>
        <w:t>В прогнозном периоде ожидается ежегодное значительное сокращение численности населения в трудоспособном возрасте, обусловленное вступлением в трудоспособный возраст относительно малочисленных поколений людей, рожденных в нестабильные 1990-е годы, и выбытием многочисленных поколений, рожденных в послевоенные годы. Данная тенденция приведет к росту демографической нагрузки.</w:t>
      </w:r>
    </w:p>
    <w:p w:rsidR="00A41090" w:rsidRDefault="00A41090">
      <w:pPr>
        <w:pStyle w:val="ConsPlusNormal"/>
        <w:ind w:firstLine="540"/>
        <w:jc w:val="both"/>
      </w:pPr>
      <w:r>
        <w:t>Структурные изменения, обусловленные сокращением числа женщин репродуктивного возраста и тенденцией откладывания рождения первого ребенка на поздний период, приведут к снижению темпов рождаемости. В прогнозный период число родившихся вырастет с 15,6 тыс</w:t>
      </w:r>
      <w:proofErr w:type="gramStart"/>
      <w:r>
        <w:t>.ч</w:t>
      </w:r>
      <w:proofErr w:type="gramEnd"/>
      <w:r>
        <w:t>ел. в 2016 году до 15,7 тыс.чел. в 2019 году.</w:t>
      </w:r>
    </w:p>
    <w:p w:rsidR="00A41090" w:rsidRDefault="00A41090">
      <w:pPr>
        <w:pStyle w:val="ConsPlusNormal"/>
        <w:ind w:firstLine="540"/>
        <w:jc w:val="both"/>
      </w:pPr>
      <w:r>
        <w:t>В условиях усиления тенденции старения населения и ухудшения возрастной структуры в прогнозный период 2017-2019 годов число умерших будет оставаться на уровне 12,7-12,8 тыс</w:t>
      </w:r>
      <w:proofErr w:type="gramStart"/>
      <w:r>
        <w:t>.ч</w:t>
      </w:r>
      <w:proofErr w:type="gramEnd"/>
      <w:r>
        <w:t>ел.</w:t>
      </w:r>
    </w:p>
    <w:p w:rsidR="00A41090" w:rsidRDefault="00A41090">
      <w:pPr>
        <w:pStyle w:val="ConsPlusNormal"/>
        <w:ind w:firstLine="540"/>
        <w:jc w:val="both"/>
      </w:pPr>
      <w:r>
        <w:t>Миграционный прирост населения в основном обеспечивается за счет жителей других муниципальных образований Пермского края и граждан из стран СНГ (Таджикистан, Узбекистан, другие страны).</w:t>
      </w:r>
    </w:p>
    <w:p w:rsidR="00A41090" w:rsidRDefault="00A41090">
      <w:pPr>
        <w:pStyle w:val="ConsPlusNormal"/>
        <w:ind w:firstLine="540"/>
        <w:jc w:val="both"/>
      </w:pPr>
      <w:proofErr w:type="gramStart"/>
      <w:r>
        <w:t>С учетом реализации мер государственной миграционной политики, направленных на повышение миграционной привлекательности Российской Федерации, в прогнозный период планируется ежегодный миграционный прирост, в первую очередь, за счет привлечения на постоянное место жительства в Россию соотечественников, проживающих за рубежом, квалифицированных иностранных специалистов, перспективной молодежи.</w:t>
      </w:r>
      <w:proofErr w:type="gramEnd"/>
    </w:p>
    <w:p w:rsidR="00A41090" w:rsidRDefault="00A41090">
      <w:pPr>
        <w:pStyle w:val="ConsPlusNormal"/>
        <w:ind w:firstLine="540"/>
        <w:jc w:val="both"/>
      </w:pPr>
      <w:r>
        <w:t>Также на число мигрантов будут влиять изменения в законодательстве, вступившие в силу с 01 января 2015 г., согласно которым, чтобы оформить патент-разрешение на право работать на территории Российской Федерации, иностранцам необходимо сдать экзамен на знание русского языка и истории России. Вместе с тем продолжится ужесточение миграционных законов: ужесточаются наказания за незаконный въезд в Россию, гражданам большинства стран СНГ будет разрешен въезд в Россию только по заграничным паспортам, пошлины  за оформление документов в Федеральной миграционной службе также вырастут. Значительный рост административных расходов и резкое падение курса рубля повлияют на поведение приезжающих на заработки в Россию. По оценке миграционный прирост по итогам 2016 года составит 1,5 тыс</w:t>
      </w:r>
      <w:proofErr w:type="gramStart"/>
      <w:r>
        <w:t>.ч</w:t>
      </w:r>
      <w:proofErr w:type="gramEnd"/>
      <w:r>
        <w:t>ел. В прогнозном периоде ожидается рост числа мигрантов до 2,6 чел. в 2019 году.</w:t>
      </w:r>
    </w:p>
    <w:p w:rsidR="00A41090" w:rsidRDefault="00A41090">
      <w:pPr>
        <w:pStyle w:val="ConsPlusNormal"/>
        <w:ind w:firstLine="540"/>
        <w:jc w:val="both"/>
      </w:pPr>
      <w:r>
        <w:t>Таким образом, с учетом сложившейся динамики уровня числа родившихся и умерших, а также с учетом миграционного прироста на 01 января 2017 г. численность населения города Перми составит 1046,3 тыс</w:t>
      </w:r>
      <w:proofErr w:type="gramStart"/>
      <w:r>
        <w:t>.ч</w:t>
      </w:r>
      <w:proofErr w:type="gramEnd"/>
      <w:r>
        <w:t>ел.</w:t>
      </w:r>
    </w:p>
    <w:p w:rsidR="00A41090" w:rsidRDefault="00A41090">
      <w:pPr>
        <w:pStyle w:val="ConsPlusNormal"/>
        <w:ind w:firstLine="540"/>
        <w:jc w:val="both"/>
      </w:pPr>
      <w:r>
        <w:t>При этом на период до 2019 года будет наблюдаться замедление темпов роста числа родившихся и миграционного прироста, в результате чего численность населения будет расти небольшими темпами (в среднем на 0,5 %) и на 01 января 2019 г. составит 1056,0 тыс</w:t>
      </w:r>
      <w:proofErr w:type="gramStart"/>
      <w:r>
        <w:t>.ч</w:t>
      </w:r>
      <w:proofErr w:type="gramEnd"/>
      <w:r>
        <w:t>ел.</w:t>
      </w:r>
    </w:p>
    <w:p w:rsidR="00A41090" w:rsidRDefault="00A41090">
      <w:pPr>
        <w:pStyle w:val="ConsPlusNormal"/>
        <w:ind w:firstLine="540"/>
        <w:jc w:val="both"/>
      </w:pPr>
    </w:p>
    <w:p w:rsidR="00A41090" w:rsidRDefault="00A41090">
      <w:pPr>
        <w:pStyle w:val="ConsPlusNormal"/>
        <w:ind w:firstLine="540"/>
        <w:jc w:val="both"/>
      </w:pPr>
    </w:p>
    <w:p w:rsidR="00A41090" w:rsidRDefault="00A41090">
      <w:pPr>
        <w:pStyle w:val="ConsPlusNonformat"/>
        <w:jc w:val="both"/>
        <w:rPr>
          <w:sz w:val="12"/>
        </w:rPr>
      </w:pPr>
      <w:r>
        <w:rPr>
          <w:sz w:val="12"/>
        </w:rPr>
        <w:t xml:space="preserve">                                                                                   </w:t>
      </w:r>
    </w:p>
    <w:p w:rsidR="00A41090" w:rsidRDefault="00A41090">
      <w:pPr>
        <w:pStyle w:val="ConsPlusNonformat"/>
        <w:jc w:val="both"/>
        <w:rPr>
          <w:sz w:val="12"/>
        </w:rPr>
      </w:pPr>
    </w:p>
    <w:p w:rsidR="00A41090" w:rsidRDefault="00A41090">
      <w:pPr>
        <w:pStyle w:val="ConsPlusNonformat"/>
        <w:jc w:val="both"/>
        <w:rPr>
          <w:sz w:val="12"/>
        </w:rPr>
      </w:pPr>
    </w:p>
    <w:p w:rsidR="00A41090" w:rsidRDefault="00A41090">
      <w:pPr>
        <w:pStyle w:val="ConsPlusNonformat"/>
        <w:jc w:val="both"/>
        <w:rPr>
          <w:sz w:val="12"/>
        </w:rPr>
      </w:pPr>
    </w:p>
    <w:p w:rsidR="00A41090" w:rsidRDefault="00A41090">
      <w:pPr>
        <w:pStyle w:val="ConsPlusNonformat"/>
        <w:jc w:val="both"/>
        <w:rPr>
          <w:sz w:val="12"/>
        </w:rPr>
      </w:pPr>
    </w:p>
    <w:p w:rsidR="00A41090" w:rsidRDefault="00A41090">
      <w:pPr>
        <w:pStyle w:val="ConsPlusNonformat"/>
        <w:jc w:val="both"/>
        <w:rPr>
          <w:sz w:val="12"/>
        </w:rPr>
      </w:pPr>
    </w:p>
    <w:p w:rsidR="00A41090" w:rsidRDefault="00A41090">
      <w:pPr>
        <w:pStyle w:val="ConsPlusNonformat"/>
        <w:jc w:val="both"/>
        <w:rPr>
          <w:sz w:val="12"/>
        </w:rPr>
      </w:pPr>
    </w:p>
    <w:p w:rsidR="00A41090" w:rsidRDefault="00A41090">
      <w:pPr>
        <w:pStyle w:val="ConsPlusNonformat"/>
        <w:jc w:val="both"/>
        <w:rPr>
          <w:sz w:val="12"/>
        </w:rPr>
      </w:pPr>
    </w:p>
    <w:p w:rsidR="00A41090" w:rsidRDefault="00A41090">
      <w:pPr>
        <w:pStyle w:val="ConsPlusNonformat"/>
        <w:jc w:val="both"/>
        <w:rPr>
          <w:sz w:val="12"/>
        </w:rPr>
      </w:pPr>
    </w:p>
    <w:p w:rsidR="00A41090" w:rsidRDefault="00A41090">
      <w:pPr>
        <w:pStyle w:val="ConsPlusNonformat"/>
        <w:jc w:val="both"/>
        <w:rPr>
          <w:sz w:val="12"/>
        </w:rPr>
      </w:pPr>
    </w:p>
    <w:p w:rsidR="00A41090" w:rsidRDefault="00A41090">
      <w:pPr>
        <w:pStyle w:val="ConsPlusNonformat"/>
        <w:jc w:val="both"/>
        <w:rPr>
          <w:sz w:val="12"/>
        </w:rPr>
      </w:pPr>
    </w:p>
    <w:p w:rsidR="00A41090" w:rsidRDefault="00A41090">
      <w:pPr>
        <w:pStyle w:val="ConsPlusNonformat"/>
        <w:jc w:val="both"/>
      </w:pPr>
      <w:r>
        <w:rPr>
          <w:sz w:val="12"/>
        </w:rPr>
        <w:t xml:space="preserve">    Приложение</w:t>
      </w:r>
    </w:p>
    <w:p w:rsidR="00A41090" w:rsidRDefault="00A41090">
      <w:pPr>
        <w:pStyle w:val="ConsPlusNonformat"/>
        <w:jc w:val="both"/>
      </w:pPr>
      <w:r>
        <w:rPr>
          <w:sz w:val="12"/>
        </w:rPr>
        <w:t xml:space="preserve">                                                                                       к Прогнозу </w:t>
      </w:r>
      <w:proofErr w:type="gramStart"/>
      <w:r>
        <w:rPr>
          <w:sz w:val="12"/>
        </w:rPr>
        <w:t>социально-экономического</w:t>
      </w:r>
      <w:proofErr w:type="gramEnd"/>
    </w:p>
    <w:p w:rsidR="00A41090" w:rsidRDefault="00A41090">
      <w:pPr>
        <w:pStyle w:val="ConsPlusNonformat"/>
        <w:jc w:val="both"/>
      </w:pPr>
      <w:r>
        <w:rPr>
          <w:sz w:val="12"/>
        </w:rPr>
        <w:t xml:space="preserve">                                                                                       развития города Перми на 2017 год</w:t>
      </w:r>
    </w:p>
    <w:p w:rsidR="00A41090" w:rsidRDefault="00A41090">
      <w:pPr>
        <w:pStyle w:val="ConsPlusNonformat"/>
        <w:jc w:val="both"/>
      </w:pPr>
      <w:r>
        <w:rPr>
          <w:sz w:val="12"/>
        </w:rPr>
        <w:t xml:space="preserve">                                                                                       и период до 2019 года</w:t>
      </w:r>
    </w:p>
    <w:p w:rsidR="00A41090" w:rsidRDefault="00A41090">
      <w:pPr>
        <w:sectPr w:rsidR="00A41090" w:rsidSect="001D54FE">
          <w:pgSz w:w="11906" w:h="16838"/>
          <w:pgMar w:top="1134" w:right="850" w:bottom="1134" w:left="1701" w:header="708" w:footer="708" w:gutter="0"/>
          <w:cols w:space="708"/>
          <w:docGrid w:linePitch="360"/>
        </w:sectPr>
      </w:pPr>
    </w:p>
    <w:p w:rsidR="00A41090" w:rsidRDefault="00A41090">
      <w:pPr>
        <w:pStyle w:val="ConsPlusNormal"/>
        <w:ind w:firstLine="540"/>
        <w:jc w:val="both"/>
      </w:pPr>
    </w:p>
    <w:p w:rsidR="00A41090" w:rsidRDefault="00A41090">
      <w:pPr>
        <w:pStyle w:val="ConsPlusNormal"/>
        <w:jc w:val="center"/>
      </w:pPr>
    </w:p>
    <w:p w:rsidR="00A41090" w:rsidRDefault="00A41090">
      <w:pPr>
        <w:pStyle w:val="ConsPlusNormal"/>
        <w:jc w:val="center"/>
      </w:pPr>
      <w:r>
        <w:t>СЦЕНАРНЫЕ УСЛОВИЯ И ПАРАМЕТРЫ</w:t>
      </w:r>
    </w:p>
    <w:p w:rsidR="00A41090" w:rsidRDefault="00A41090">
      <w:pPr>
        <w:pStyle w:val="ConsPlusNormal"/>
        <w:jc w:val="center"/>
      </w:pPr>
      <w:r>
        <w:t>Прогноза социально-экономического развития города Перми</w:t>
      </w:r>
    </w:p>
    <w:p w:rsidR="00A41090" w:rsidRDefault="00A41090">
      <w:pPr>
        <w:pStyle w:val="ConsPlusNormal"/>
        <w:jc w:val="center"/>
      </w:pPr>
      <w:r>
        <w:t>на 2017 год и период до 2019 года</w:t>
      </w:r>
    </w:p>
    <w:p w:rsidR="00A41090" w:rsidRDefault="00A41090">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960"/>
        <w:gridCol w:w="3360"/>
        <w:gridCol w:w="1152"/>
        <w:gridCol w:w="1248"/>
        <w:gridCol w:w="1152"/>
        <w:gridCol w:w="1056"/>
        <w:gridCol w:w="1152"/>
        <w:gridCol w:w="1344"/>
        <w:gridCol w:w="1344"/>
        <w:gridCol w:w="1248"/>
      </w:tblGrid>
      <w:tr w:rsidR="00A41090">
        <w:trPr>
          <w:trHeight w:val="160"/>
        </w:trPr>
        <w:tc>
          <w:tcPr>
            <w:tcW w:w="960" w:type="dxa"/>
            <w:vMerge w:val="restart"/>
          </w:tcPr>
          <w:p w:rsidR="00A41090" w:rsidRDefault="00A41090">
            <w:pPr>
              <w:pStyle w:val="ConsPlusNonformat"/>
              <w:jc w:val="both"/>
            </w:pPr>
            <w:r>
              <w:rPr>
                <w:sz w:val="16"/>
              </w:rPr>
              <w:t xml:space="preserve">   N    </w:t>
            </w:r>
          </w:p>
        </w:tc>
        <w:tc>
          <w:tcPr>
            <w:tcW w:w="3360" w:type="dxa"/>
            <w:vMerge w:val="restart"/>
          </w:tcPr>
          <w:p w:rsidR="00A41090" w:rsidRDefault="00A41090">
            <w:pPr>
              <w:pStyle w:val="ConsPlusNonformat"/>
              <w:jc w:val="both"/>
            </w:pPr>
            <w:r>
              <w:rPr>
                <w:sz w:val="16"/>
              </w:rPr>
              <w:t xml:space="preserve">           Показатели            </w:t>
            </w:r>
          </w:p>
        </w:tc>
        <w:tc>
          <w:tcPr>
            <w:tcW w:w="1152" w:type="dxa"/>
            <w:vMerge w:val="restart"/>
          </w:tcPr>
          <w:p w:rsidR="00A41090" w:rsidRDefault="00A41090">
            <w:pPr>
              <w:pStyle w:val="ConsPlusNonformat"/>
              <w:jc w:val="both"/>
            </w:pPr>
            <w:r>
              <w:rPr>
                <w:sz w:val="16"/>
              </w:rPr>
              <w:t xml:space="preserve"> </w:t>
            </w:r>
            <w:proofErr w:type="spellStart"/>
            <w:r>
              <w:rPr>
                <w:sz w:val="16"/>
              </w:rPr>
              <w:t>Ед</w:t>
            </w:r>
            <w:proofErr w:type="gramStart"/>
            <w:r>
              <w:rPr>
                <w:sz w:val="16"/>
              </w:rPr>
              <w:t>.и</w:t>
            </w:r>
            <w:proofErr w:type="gramEnd"/>
            <w:r>
              <w:rPr>
                <w:sz w:val="16"/>
              </w:rPr>
              <w:t>зм</w:t>
            </w:r>
            <w:proofErr w:type="spellEnd"/>
            <w:r>
              <w:rPr>
                <w:sz w:val="16"/>
              </w:rPr>
              <w:t xml:space="preserve">.  </w:t>
            </w:r>
          </w:p>
        </w:tc>
        <w:tc>
          <w:tcPr>
            <w:tcW w:w="1248" w:type="dxa"/>
            <w:vMerge w:val="restart"/>
          </w:tcPr>
          <w:p w:rsidR="00A41090" w:rsidRDefault="00A41090">
            <w:pPr>
              <w:pStyle w:val="ConsPlusNonformat"/>
              <w:jc w:val="both"/>
            </w:pPr>
            <w:r>
              <w:rPr>
                <w:sz w:val="16"/>
              </w:rPr>
              <w:t xml:space="preserve"> Варианты  </w:t>
            </w:r>
          </w:p>
          <w:p w:rsidR="00A41090" w:rsidRDefault="00A41090">
            <w:pPr>
              <w:pStyle w:val="ConsPlusNonformat"/>
              <w:jc w:val="both"/>
            </w:pPr>
            <w:r>
              <w:rPr>
                <w:sz w:val="16"/>
              </w:rPr>
              <w:t xml:space="preserve"> сценариев </w:t>
            </w:r>
          </w:p>
        </w:tc>
        <w:tc>
          <w:tcPr>
            <w:tcW w:w="1152" w:type="dxa"/>
          </w:tcPr>
          <w:p w:rsidR="00A41090" w:rsidRDefault="00A41090">
            <w:pPr>
              <w:pStyle w:val="ConsPlusNonformat"/>
              <w:jc w:val="both"/>
            </w:pPr>
            <w:r>
              <w:rPr>
                <w:sz w:val="16"/>
              </w:rPr>
              <w:t xml:space="preserve">   2014   </w:t>
            </w:r>
          </w:p>
        </w:tc>
        <w:tc>
          <w:tcPr>
            <w:tcW w:w="1056" w:type="dxa"/>
          </w:tcPr>
          <w:p w:rsidR="00A41090" w:rsidRDefault="00A41090">
            <w:pPr>
              <w:pStyle w:val="ConsPlusNonformat"/>
              <w:jc w:val="both"/>
            </w:pPr>
            <w:r>
              <w:rPr>
                <w:sz w:val="16"/>
              </w:rPr>
              <w:t xml:space="preserve">  2015   </w:t>
            </w:r>
          </w:p>
        </w:tc>
        <w:tc>
          <w:tcPr>
            <w:tcW w:w="1152" w:type="dxa"/>
          </w:tcPr>
          <w:p w:rsidR="00A41090" w:rsidRDefault="00A41090">
            <w:pPr>
              <w:pStyle w:val="ConsPlusNonformat"/>
              <w:jc w:val="both"/>
            </w:pPr>
            <w:r>
              <w:rPr>
                <w:sz w:val="16"/>
              </w:rPr>
              <w:t xml:space="preserve">   2016   </w:t>
            </w:r>
          </w:p>
        </w:tc>
        <w:tc>
          <w:tcPr>
            <w:tcW w:w="1344" w:type="dxa"/>
          </w:tcPr>
          <w:p w:rsidR="00A41090" w:rsidRDefault="00A41090">
            <w:pPr>
              <w:pStyle w:val="ConsPlusNonformat"/>
              <w:jc w:val="both"/>
            </w:pPr>
            <w:r>
              <w:rPr>
                <w:sz w:val="16"/>
              </w:rPr>
              <w:t xml:space="preserve">    2017    </w:t>
            </w:r>
          </w:p>
        </w:tc>
        <w:tc>
          <w:tcPr>
            <w:tcW w:w="1344" w:type="dxa"/>
          </w:tcPr>
          <w:p w:rsidR="00A41090" w:rsidRDefault="00A41090">
            <w:pPr>
              <w:pStyle w:val="ConsPlusNonformat"/>
              <w:jc w:val="both"/>
            </w:pPr>
            <w:r>
              <w:rPr>
                <w:sz w:val="16"/>
              </w:rPr>
              <w:t xml:space="preserve">    2018    </w:t>
            </w:r>
          </w:p>
        </w:tc>
        <w:tc>
          <w:tcPr>
            <w:tcW w:w="1248" w:type="dxa"/>
          </w:tcPr>
          <w:p w:rsidR="00A41090" w:rsidRDefault="00A41090">
            <w:pPr>
              <w:pStyle w:val="ConsPlusNonformat"/>
              <w:jc w:val="both"/>
            </w:pPr>
            <w:r>
              <w:rPr>
                <w:sz w:val="16"/>
              </w:rPr>
              <w:t xml:space="preserve">   2019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152" w:type="dxa"/>
            <w:vMerge/>
            <w:tcBorders>
              <w:top w:val="nil"/>
            </w:tcBorders>
          </w:tcPr>
          <w:p w:rsidR="00A41090" w:rsidRDefault="00A41090"/>
        </w:tc>
        <w:tc>
          <w:tcPr>
            <w:tcW w:w="2208" w:type="dxa"/>
            <w:gridSpan w:val="2"/>
            <w:tcBorders>
              <w:top w:val="nil"/>
            </w:tcBorders>
          </w:tcPr>
          <w:p w:rsidR="00A41090" w:rsidRDefault="00A41090">
            <w:pPr>
              <w:pStyle w:val="ConsPlusNonformat"/>
              <w:jc w:val="both"/>
            </w:pPr>
            <w:r>
              <w:rPr>
                <w:sz w:val="16"/>
              </w:rPr>
              <w:t xml:space="preserve">        факт        </w:t>
            </w:r>
          </w:p>
        </w:tc>
        <w:tc>
          <w:tcPr>
            <w:tcW w:w="1152" w:type="dxa"/>
            <w:tcBorders>
              <w:top w:val="nil"/>
            </w:tcBorders>
          </w:tcPr>
          <w:p w:rsidR="00A41090" w:rsidRDefault="00A41090">
            <w:pPr>
              <w:pStyle w:val="ConsPlusNonformat"/>
              <w:jc w:val="both"/>
            </w:pPr>
            <w:r>
              <w:rPr>
                <w:sz w:val="16"/>
              </w:rPr>
              <w:t xml:space="preserve">  оценка  </w:t>
            </w:r>
          </w:p>
        </w:tc>
        <w:tc>
          <w:tcPr>
            <w:tcW w:w="3936" w:type="dxa"/>
            <w:gridSpan w:val="3"/>
            <w:tcBorders>
              <w:top w:val="nil"/>
            </w:tcBorders>
          </w:tcPr>
          <w:p w:rsidR="00A41090" w:rsidRDefault="00A41090">
            <w:pPr>
              <w:pStyle w:val="ConsPlusNonformat"/>
              <w:jc w:val="both"/>
            </w:pPr>
            <w:r>
              <w:rPr>
                <w:sz w:val="16"/>
              </w:rPr>
              <w:t xml:space="preserve">               прогноз               </w:t>
            </w:r>
          </w:p>
        </w:tc>
      </w:tr>
      <w:tr w:rsidR="00A41090">
        <w:trPr>
          <w:trHeight w:val="160"/>
        </w:trPr>
        <w:tc>
          <w:tcPr>
            <w:tcW w:w="960" w:type="dxa"/>
            <w:tcBorders>
              <w:top w:val="nil"/>
            </w:tcBorders>
          </w:tcPr>
          <w:p w:rsidR="00A41090" w:rsidRDefault="00A41090">
            <w:pPr>
              <w:pStyle w:val="ConsPlusNonformat"/>
              <w:jc w:val="both"/>
            </w:pPr>
            <w:r>
              <w:rPr>
                <w:sz w:val="16"/>
              </w:rPr>
              <w:t xml:space="preserve">   1    </w:t>
            </w:r>
          </w:p>
        </w:tc>
        <w:tc>
          <w:tcPr>
            <w:tcW w:w="3360" w:type="dxa"/>
            <w:tcBorders>
              <w:top w:val="nil"/>
            </w:tcBorders>
          </w:tcPr>
          <w:p w:rsidR="00A41090" w:rsidRDefault="00A41090">
            <w:pPr>
              <w:pStyle w:val="ConsPlusNonformat"/>
              <w:jc w:val="both"/>
            </w:pPr>
            <w:r>
              <w:rPr>
                <w:sz w:val="16"/>
              </w:rPr>
              <w:t xml:space="preserve">                2                </w:t>
            </w:r>
          </w:p>
        </w:tc>
        <w:tc>
          <w:tcPr>
            <w:tcW w:w="1152" w:type="dxa"/>
            <w:tcBorders>
              <w:top w:val="nil"/>
            </w:tcBorders>
          </w:tcPr>
          <w:p w:rsidR="00A41090" w:rsidRDefault="00A41090">
            <w:pPr>
              <w:pStyle w:val="ConsPlusNonformat"/>
              <w:jc w:val="both"/>
            </w:pPr>
            <w:r>
              <w:rPr>
                <w:sz w:val="16"/>
              </w:rPr>
              <w:t xml:space="preserve">    3     </w:t>
            </w:r>
          </w:p>
        </w:tc>
        <w:tc>
          <w:tcPr>
            <w:tcW w:w="1248" w:type="dxa"/>
            <w:tcBorders>
              <w:top w:val="nil"/>
            </w:tcBorders>
          </w:tcPr>
          <w:p w:rsidR="00A41090" w:rsidRDefault="00A41090">
            <w:pPr>
              <w:pStyle w:val="ConsPlusNonformat"/>
              <w:jc w:val="both"/>
            </w:pPr>
            <w:r>
              <w:rPr>
                <w:sz w:val="16"/>
              </w:rPr>
              <w:t xml:space="preserve">     4     </w:t>
            </w:r>
          </w:p>
        </w:tc>
        <w:tc>
          <w:tcPr>
            <w:tcW w:w="1152" w:type="dxa"/>
            <w:tcBorders>
              <w:top w:val="nil"/>
            </w:tcBorders>
          </w:tcPr>
          <w:p w:rsidR="00A41090" w:rsidRDefault="00A41090">
            <w:pPr>
              <w:pStyle w:val="ConsPlusNonformat"/>
              <w:jc w:val="both"/>
            </w:pPr>
            <w:r>
              <w:rPr>
                <w:sz w:val="16"/>
              </w:rPr>
              <w:t xml:space="preserve">    5     </w:t>
            </w:r>
          </w:p>
        </w:tc>
        <w:tc>
          <w:tcPr>
            <w:tcW w:w="1056" w:type="dxa"/>
            <w:tcBorders>
              <w:top w:val="nil"/>
            </w:tcBorders>
          </w:tcPr>
          <w:p w:rsidR="00A41090" w:rsidRDefault="00A41090">
            <w:pPr>
              <w:pStyle w:val="ConsPlusNonformat"/>
              <w:jc w:val="both"/>
            </w:pPr>
            <w:r>
              <w:rPr>
                <w:sz w:val="16"/>
              </w:rPr>
              <w:t xml:space="preserve">    6    </w:t>
            </w:r>
          </w:p>
        </w:tc>
        <w:tc>
          <w:tcPr>
            <w:tcW w:w="1152" w:type="dxa"/>
            <w:tcBorders>
              <w:top w:val="nil"/>
            </w:tcBorders>
          </w:tcPr>
          <w:p w:rsidR="00A41090" w:rsidRDefault="00A41090">
            <w:pPr>
              <w:pStyle w:val="ConsPlusNonformat"/>
              <w:jc w:val="both"/>
            </w:pPr>
            <w:r>
              <w:rPr>
                <w:sz w:val="16"/>
              </w:rPr>
              <w:t xml:space="preserve">    7     </w:t>
            </w:r>
          </w:p>
        </w:tc>
        <w:tc>
          <w:tcPr>
            <w:tcW w:w="1344" w:type="dxa"/>
            <w:tcBorders>
              <w:top w:val="nil"/>
            </w:tcBorders>
          </w:tcPr>
          <w:p w:rsidR="00A41090" w:rsidRDefault="00A41090">
            <w:pPr>
              <w:pStyle w:val="ConsPlusNonformat"/>
              <w:jc w:val="both"/>
            </w:pPr>
            <w:r>
              <w:rPr>
                <w:sz w:val="16"/>
              </w:rPr>
              <w:t xml:space="preserve">     8      </w:t>
            </w:r>
          </w:p>
        </w:tc>
        <w:tc>
          <w:tcPr>
            <w:tcW w:w="1344" w:type="dxa"/>
            <w:tcBorders>
              <w:top w:val="nil"/>
            </w:tcBorders>
          </w:tcPr>
          <w:p w:rsidR="00A41090" w:rsidRDefault="00A41090">
            <w:pPr>
              <w:pStyle w:val="ConsPlusNonformat"/>
              <w:jc w:val="both"/>
            </w:pPr>
            <w:r>
              <w:rPr>
                <w:sz w:val="16"/>
              </w:rPr>
              <w:t xml:space="preserve">     9      </w:t>
            </w:r>
          </w:p>
        </w:tc>
        <w:tc>
          <w:tcPr>
            <w:tcW w:w="1248" w:type="dxa"/>
            <w:tcBorders>
              <w:top w:val="nil"/>
            </w:tcBorders>
          </w:tcPr>
          <w:p w:rsidR="00A41090" w:rsidRDefault="00A41090">
            <w:pPr>
              <w:pStyle w:val="ConsPlusNonformat"/>
              <w:jc w:val="both"/>
            </w:pPr>
            <w:r>
              <w:rPr>
                <w:sz w:val="16"/>
              </w:rPr>
              <w:t xml:space="preserve">    10     </w:t>
            </w:r>
          </w:p>
        </w:tc>
      </w:tr>
      <w:tr w:rsidR="00A41090">
        <w:trPr>
          <w:trHeight w:val="160"/>
        </w:trPr>
        <w:tc>
          <w:tcPr>
            <w:tcW w:w="960" w:type="dxa"/>
            <w:tcBorders>
              <w:top w:val="nil"/>
            </w:tcBorders>
          </w:tcPr>
          <w:p w:rsidR="00A41090" w:rsidRDefault="00A41090">
            <w:pPr>
              <w:pStyle w:val="ConsPlusNonformat"/>
              <w:jc w:val="both"/>
            </w:pPr>
            <w:r>
              <w:rPr>
                <w:sz w:val="16"/>
              </w:rPr>
              <w:t xml:space="preserve">   1    </w:t>
            </w:r>
          </w:p>
        </w:tc>
        <w:tc>
          <w:tcPr>
            <w:tcW w:w="13056" w:type="dxa"/>
            <w:gridSpan w:val="9"/>
            <w:tcBorders>
              <w:top w:val="nil"/>
            </w:tcBorders>
          </w:tcPr>
          <w:p w:rsidR="00A41090" w:rsidRDefault="00A41090">
            <w:pPr>
              <w:pStyle w:val="ConsPlusNonformat"/>
              <w:jc w:val="both"/>
            </w:pPr>
            <w:r>
              <w:rPr>
                <w:sz w:val="16"/>
              </w:rPr>
              <w:t xml:space="preserve">Уровень жизни населения                                                                                                       </w:t>
            </w:r>
          </w:p>
        </w:tc>
      </w:tr>
      <w:tr w:rsidR="00A41090">
        <w:trPr>
          <w:trHeight w:val="160"/>
        </w:trPr>
        <w:tc>
          <w:tcPr>
            <w:tcW w:w="960" w:type="dxa"/>
            <w:vMerge w:val="restart"/>
            <w:tcBorders>
              <w:top w:val="nil"/>
            </w:tcBorders>
          </w:tcPr>
          <w:p w:rsidR="00A41090" w:rsidRDefault="00A41090">
            <w:pPr>
              <w:pStyle w:val="ConsPlusNonformat"/>
              <w:jc w:val="both"/>
            </w:pPr>
            <w:r>
              <w:rPr>
                <w:sz w:val="16"/>
              </w:rPr>
              <w:t xml:space="preserve">  1.1   </w:t>
            </w:r>
          </w:p>
        </w:tc>
        <w:tc>
          <w:tcPr>
            <w:tcW w:w="3360" w:type="dxa"/>
            <w:vMerge w:val="restart"/>
            <w:tcBorders>
              <w:top w:val="nil"/>
            </w:tcBorders>
          </w:tcPr>
          <w:p w:rsidR="00A41090" w:rsidRDefault="00A41090">
            <w:pPr>
              <w:pStyle w:val="ConsPlusNonformat"/>
              <w:jc w:val="both"/>
            </w:pPr>
            <w:r>
              <w:rPr>
                <w:sz w:val="16"/>
              </w:rPr>
              <w:t xml:space="preserve">Фонд заработной платы работников </w:t>
            </w:r>
          </w:p>
          <w:p w:rsidR="00A41090" w:rsidRDefault="00A41090">
            <w:pPr>
              <w:pStyle w:val="ConsPlusNonformat"/>
              <w:jc w:val="both"/>
            </w:pPr>
            <w:r>
              <w:rPr>
                <w:sz w:val="16"/>
              </w:rPr>
              <w:t xml:space="preserve">крупных и средних предприятий и  </w:t>
            </w:r>
          </w:p>
          <w:p w:rsidR="00A41090" w:rsidRDefault="00A41090">
            <w:pPr>
              <w:pStyle w:val="ConsPlusNonformat"/>
              <w:jc w:val="both"/>
            </w:pPr>
            <w:proofErr w:type="gramStart"/>
            <w:r>
              <w:rPr>
                <w:sz w:val="16"/>
              </w:rPr>
              <w:t xml:space="preserve">организаций города (без внешних  </w:t>
            </w:r>
            <w:proofErr w:type="gramEnd"/>
          </w:p>
          <w:p w:rsidR="00A41090" w:rsidRDefault="00A41090">
            <w:pPr>
              <w:pStyle w:val="ConsPlusNonformat"/>
              <w:jc w:val="both"/>
            </w:pPr>
            <w:r>
              <w:rPr>
                <w:sz w:val="16"/>
              </w:rPr>
              <w:t xml:space="preserve">совместителей)                   </w:t>
            </w:r>
          </w:p>
        </w:tc>
        <w:tc>
          <w:tcPr>
            <w:tcW w:w="1152" w:type="dxa"/>
            <w:vMerge w:val="restart"/>
            <w:tcBorders>
              <w:top w:val="nil"/>
            </w:tcBorders>
          </w:tcPr>
          <w:p w:rsidR="00A41090" w:rsidRDefault="00A41090">
            <w:pPr>
              <w:pStyle w:val="ConsPlusNonformat"/>
              <w:jc w:val="both"/>
            </w:pPr>
            <w:r>
              <w:rPr>
                <w:sz w:val="16"/>
              </w:rPr>
              <w:t xml:space="preserve"> млн</w:t>
            </w:r>
            <w:proofErr w:type="gramStart"/>
            <w:r>
              <w:rPr>
                <w:sz w:val="16"/>
              </w:rPr>
              <w:t>.р</w:t>
            </w:r>
            <w:proofErr w:type="gramEnd"/>
            <w:r>
              <w:rPr>
                <w:sz w:val="16"/>
              </w:rPr>
              <w:t xml:space="preserve">уб. </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 128371,2 </w:t>
            </w:r>
          </w:p>
        </w:tc>
        <w:tc>
          <w:tcPr>
            <w:tcW w:w="1056" w:type="dxa"/>
            <w:vMerge w:val="restart"/>
            <w:tcBorders>
              <w:top w:val="nil"/>
            </w:tcBorders>
          </w:tcPr>
          <w:p w:rsidR="00A41090" w:rsidRDefault="00A41090">
            <w:pPr>
              <w:pStyle w:val="ConsPlusNonformat"/>
              <w:jc w:val="both"/>
            </w:pPr>
            <w:r>
              <w:rPr>
                <w:sz w:val="16"/>
              </w:rPr>
              <w:t xml:space="preserve">130032,0 </w:t>
            </w:r>
          </w:p>
        </w:tc>
        <w:tc>
          <w:tcPr>
            <w:tcW w:w="1152" w:type="dxa"/>
            <w:vMerge w:val="restart"/>
            <w:tcBorders>
              <w:top w:val="nil"/>
            </w:tcBorders>
          </w:tcPr>
          <w:p w:rsidR="00A41090" w:rsidRDefault="00A41090">
            <w:pPr>
              <w:pStyle w:val="ConsPlusNonformat"/>
              <w:jc w:val="both"/>
            </w:pPr>
            <w:r>
              <w:rPr>
                <w:sz w:val="16"/>
              </w:rPr>
              <w:t xml:space="preserve"> 136000,0 </w:t>
            </w:r>
          </w:p>
        </w:tc>
        <w:tc>
          <w:tcPr>
            <w:tcW w:w="1344" w:type="dxa"/>
            <w:tcBorders>
              <w:top w:val="nil"/>
            </w:tcBorders>
          </w:tcPr>
          <w:p w:rsidR="00A41090" w:rsidRDefault="00A41090">
            <w:pPr>
              <w:pStyle w:val="ConsPlusNonformat"/>
              <w:jc w:val="both"/>
            </w:pPr>
            <w:r>
              <w:rPr>
                <w:sz w:val="16"/>
              </w:rPr>
              <w:t xml:space="preserve">  143050,0  </w:t>
            </w:r>
          </w:p>
        </w:tc>
        <w:tc>
          <w:tcPr>
            <w:tcW w:w="1344" w:type="dxa"/>
            <w:tcBorders>
              <w:top w:val="nil"/>
            </w:tcBorders>
          </w:tcPr>
          <w:p w:rsidR="00A41090" w:rsidRDefault="00A41090">
            <w:pPr>
              <w:pStyle w:val="ConsPlusNonformat"/>
              <w:jc w:val="both"/>
            </w:pPr>
            <w:r>
              <w:rPr>
                <w:sz w:val="16"/>
              </w:rPr>
              <w:t xml:space="preserve">  150350,0  </w:t>
            </w:r>
          </w:p>
        </w:tc>
        <w:tc>
          <w:tcPr>
            <w:tcW w:w="1248" w:type="dxa"/>
            <w:tcBorders>
              <w:top w:val="nil"/>
            </w:tcBorders>
          </w:tcPr>
          <w:p w:rsidR="00A41090" w:rsidRDefault="00A41090">
            <w:pPr>
              <w:pStyle w:val="ConsPlusNonformat"/>
              <w:jc w:val="both"/>
            </w:pPr>
            <w:r>
              <w:rPr>
                <w:sz w:val="16"/>
              </w:rPr>
              <w:t xml:space="preserve"> 158450,0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141900,0  </w:t>
            </w:r>
          </w:p>
        </w:tc>
        <w:tc>
          <w:tcPr>
            <w:tcW w:w="1344" w:type="dxa"/>
            <w:tcBorders>
              <w:top w:val="nil"/>
            </w:tcBorders>
          </w:tcPr>
          <w:p w:rsidR="00A41090" w:rsidRDefault="00A41090">
            <w:pPr>
              <w:pStyle w:val="ConsPlusNonformat"/>
              <w:jc w:val="both"/>
            </w:pPr>
            <w:r>
              <w:rPr>
                <w:sz w:val="16"/>
              </w:rPr>
              <w:t xml:space="preserve">  147350,0  </w:t>
            </w:r>
          </w:p>
        </w:tc>
        <w:tc>
          <w:tcPr>
            <w:tcW w:w="1248" w:type="dxa"/>
            <w:tcBorders>
              <w:top w:val="nil"/>
            </w:tcBorders>
          </w:tcPr>
          <w:p w:rsidR="00A41090" w:rsidRDefault="00A41090">
            <w:pPr>
              <w:pStyle w:val="ConsPlusNonformat"/>
              <w:jc w:val="both"/>
            </w:pPr>
            <w:r>
              <w:rPr>
                <w:sz w:val="16"/>
              </w:rPr>
              <w:t xml:space="preserve"> 153450,0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140300,0  </w:t>
            </w:r>
          </w:p>
        </w:tc>
        <w:tc>
          <w:tcPr>
            <w:tcW w:w="1344" w:type="dxa"/>
            <w:tcBorders>
              <w:top w:val="nil"/>
            </w:tcBorders>
          </w:tcPr>
          <w:p w:rsidR="00A41090" w:rsidRDefault="00A41090">
            <w:pPr>
              <w:pStyle w:val="ConsPlusNonformat"/>
              <w:jc w:val="both"/>
            </w:pPr>
            <w:r>
              <w:rPr>
                <w:sz w:val="16"/>
              </w:rPr>
              <w:t xml:space="preserve">  144450,0  </w:t>
            </w:r>
          </w:p>
        </w:tc>
        <w:tc>
          <w:tcPr>
            <w:tcW w:w="1248" w:type="dxa"/>
            <w:tcBorders>
              <w:top w:val="nil"/>
            </w:tcBorders>
          </w:tcPr>
          <w:p w:rsidR="00A41090" w:rsidRDefault="00A41090">
            <w:pPr>
              <w:pStyle w:val="ConsPlusNonformat"/>
              <w:jc w:val="both"/>
            </w:pPr>
            <w:r>
              <w:rPr>
                <w:sz w:val="16"/>
              </w:rPr>
              <w:t xml:space="preserve"> 148850,0  </w:t>
            </w:r>
          </w:p>
        </w:tc>
      </w:tr>
      <w:tr w:rsidR="00A41090">
        <w:trPr>
          <w:trHeight w:val="160"/>
        </w:trPr>
        <w:tc>
          <w:tcPr>
            <w:tcW w:w="960" w:type="dxa"/>
            <w:vMerge w:val="restart"/>
            <w:tcBorders>
              <w:top w:val="nil"/>
            </w:tcBorders>
          </w:tcPr>
          <w:p w:rsidR="00A41090" w:rsidRDefault="00A41090">
            <w:pPr>
              <w:pStyle w:val="ConsPlusNonformat"/>
              <w:jc w:val="both"/>
            </w:pPr>
            <w:r>
              <w:rPr>
                <w:sz w:val="16"/>
              </w:rPr>
              <w:t xml:space="preserve">  1.2   </w:t>
            </w:r>
          </w:p>
        </w:tc>
        <w:tc>
          <w:tcPr>
            <w:tcW w:w="3360" w:type="dxa"/>
            <w:vMerge w:val="restart"/>
            <w:tcBorders>
              <w:top w:val="nil"/>
            </w:tcBorders>
          </w:tcPr>
          <w:p w:rsidR="00A41090" w:rsidRDefault="00A41090">
            <w:pPr>
              <w:pStyle w:val="ConsPlusNonformat"/>
              <w:jc w:val="both"/>
            </w:pPr>
            <w:r>
              <w:rPr>
                <w:sz w:val="16"/>
              </w:rPr>
              <w:t xml:space="preserve">Темп роста (снижения) фонда      </w:t>
            </w:r>
          </w:p>
          <w:p w:rsidR="00A41090" w:rsidRDefault="00A41090">
            <w:pPr>
              <w:pStyle w:val="ConsPlusNonformat"/>
              <w:jc w:val="both"/>
            </w:pPr>
            <w:r>
              <w:rPr>
                <w:sz w:val="16"/>
              </w:rPr>
              <w:t xml:space="preserve">заработной платы работников      </w:t>
            </w:r>
          </w:p>
          <w:p w:rsidR="00A41090" w:rsidRDefault="00A41090">
            <w:pPr>
              <w:pStyle w:val="ConsPlusNonformat"/>
              <w:jc w:val="both"/>
            </w:pPr>
            <w:r>
              <w:rPr>
                <w:sz w:val="16"/>
              </w:rPr>
              <w:t xml:space="preserve">крупных и средних предприятий и  </w:t>
            </w:r>
          </w:p>
          <w:p w:rsidR="00A41090" w:rsidRDefault="00A41090">
            <w:pPr>
              <w:pStyle w:val="ConsPlusNonformat"/>
              <w:jc w:val="both"/>
            </w:pPr>
            <w:proofErr w:type="gramStart"/>
            <w:r>
              <w:rPr>
                <w:sz w:val="16"/>
              </w:rPr>
              <w:t xml:space="preserve">организаций города (без внешних  </w:t>
            </w:r>
            <w:proofErr w:type="gramEnd"/>
          </w:p>
          <w:p w:rsidR="00A41090" w:rsidRDefault="00A41090">
            <w:pPr>
              <w:pStyle w:val="ConsPlusNonformat"/>
              <w:jc w:val="both"/>
            </w:pPr>
            <w:r>
              <w:rPr>
                <w:sz w:val="16"/>
              </w:rPr>
              <w:t xml:space="preserve">совместителей)                   </w:t>
            </w:r>
          </w:p>
        </w:tc>
        <w:tc>
          <w:tcPr>
            <w:tcW w:w="1152" w:type="dxa"/>
            <w:vMerge w:val="restart"/>
            <w:tcBorders>
              <w:top w:val="nil"/>
            </w:tcBorders>
          </w:tcPr>
          <w:p w:rsidR="00A41090" w:rsidRDefault="00A41090">
            <w:pPr>
              <w:pStyle w:val="ConsPlusNonformat"/>
              <w:jc w:val="both"/>
            </w:pPr>
            <w:r>
              <w:rPr>
                <w:sz w:val="16"/>
              </w:rPr>
              <w:t xml:space="preserve">    %     </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  108,6   </w:t>
            </w:r>
          </w:p>
        </w:tc>
        <w:tc>
          <w:tcPr>
            <w:tcW w:w="1056" w:type="dxa"/>
            <w:vMerge w:val="restart"/>
            <w:tcBorders>
              <w:top w:val="nil"/>
            </w:tcBorders>
          </w:tcPr>
          <w:p w:rsidR="00A41090" w:rsidRDefault="00A41090">
            <w:pPr>
              <w:pStyle w:val="ConsPlusNonformat"/>
              <w:jc w:val="both"/>
            </w:pPr>
            <w:r>
              <w:rPr>
                <w:sz w:val="16"/>
              </w:rPr>
              <w:t xml:space="preserve">  101,3  </w:t>
            </w:r>
          </w:p>
        </w:tc>
        <w:tc>
          <w:tcPr>
            <w:tcW w:w="1152" w:type="dxa"/>
            <w:vMerge w:val="restart"/>
            <w:tcBorders>
              <w:top w:val="nil"/>
            </w:tcBorders>
          </w:tcPr>
          <w:p w:rsidR="00A41090" w:rsidRDefault="00A41090">
            <w:pPr>
              <w:pStyle w:val="ConsPlusNonformat"/>
              <w:jc w:val="both"/>
            </w:pPr>
            <w:r>
              <w:rPr>
                <w:sz w:val="16"/>
              </w:rPr>
              <w:t xml:space="preserve">  104,6   </w:t>
            </w:r>
          </w:p>
        </w:tc>
        <w:tc>
          <w:tcPr>
            <w:tcW w:w="1344" w:type="dxa"/>
            <w:tcBorders>
              <w:top w:val="nil"/>
            </w:tcBorders>
          </w:tcPr>
          <w:p w:rsidR="00A41090" w:rsidRDefault="00A41090">
            <w:pPr>
              <w:pStyle w:val="ConsPlusNonformat"/>
              <w:jc w:val="both"/>
            </w:pPr>
            <w:r>
              <w:rPr>
                <w:sz w:val="16"/>
              </w:rPr>
              <w:t xml:space="preserve">   105,2    </w:t>
            </w:r>
          </w:p>
        </w:tc>
        <w:tc>
          <w:tcPr>
            <w:tcW w:w="1344" w:type="dxa"/>
            <w:tcBorders>
              <w:top w:val="nil"/>
            </w:tcBorders>
          </w:tcPr>
          <w:p w:rsidR="00A41090" w:rsidRDefault="00A41090">
            <w:pPr>
              <w:pStyle w:val="ConsPlusNonformat"/>
              <w:jc w:val="both"/>
            </w:pPr>
            <w:r>
              <w:rPr>
                <w:sz w:val="16"/>
              </w:rPr>
              <w:t xml:space="preserve">   105,1    </w:t>
            </w:r>
          </w:p>
        </w:tc>
        <w:tc>
          <w:tcPr>
            <w:tcW w:w="1248" w:type="dxa"/>
            <w:tcBorders>
              <w:top w:val="nil"/>
            </w:tcBorders>
          </w:tcPr>
          <w:p w:rsidR="00A41090" w:rsidRDefault="00A41090">
            <w:pPr>
              <w:pStyle w:val="ConsPlusNonformat"/>
              <w:jc w:val="both"/>
            </w:pPr>
            <w:r>
              <w:rPr>
                <w:sz w:val="16"/>
              </w:rPr>
              <w:t xml:space="preserve">   105,4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104,3    </w:t>
            </w:r>
          </w:p>
        </w:tc>
        <w:tc>
          <w:tcPr>
            <w:tcW w:w="1344" w:type="dxa"/>
            <w:tcBorders>
              <w:top w:val="nil"/>
            </w:tcBorders>
          </w:tcPr>
          <w:p w:rsidR="00A41090" w:rsidRDefault="00A41090">
            <w:pPr>
              <w:pStyle w:val="ConsPlusNonformat"/>
              <w:jc w:val="both"/>
            </w:pPr>
            <w:r>
              <w:rPr>
                <w:sz w:val="16"/>
              </w:rPr>
              <w:t xml:space="preserve">   103,8    </w:t>
            </w:r>
          </w:p>
        </w:tc>
        <w:tc>
          <w:tcPr>
            <w:tcW w:w="1248" w:type="dxa"/>
            <w:tcBorders>
              <w:top w:val="nil"/>
            </w:tcBorders>
          </w:tcPr>
          <w:p w:rsidR="00A41090" w:rsidRDefault="00A41090">
            <w:pPr>
              <w:pStyle w:val="ConsPlusNonformat"/>
              <w:jc w:val="both"/>
            </w:pPr>
            <w:r>
              <w:rPr>
                <w:sz w:val="16"/>
              </w:rPr>
              <w:t xml:space="preserve">   104,1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103,2    </w:t>
            </w:r>
          </w:p>
        </w:tc>
        <w:tc>
          <w:tcPr>
            <w:tcW w:w="1344" w:type="dxa"/>
            <w:tcBorders>
              <w:top w:val="nil"/>
            </w:tcBorders>
          </w:tcPr>
          <w:p w:rsidR="00A41090" w:rsidRDefault="00A41090">
            <w:pPr>
              <w:pStyle w:val="ConsPlusNonformat"/>
              <w:jc w:val="both"/>
            </w:pPr>
            <w:r>
              <w:rPr>
                <w:sz w:val="16"/>
              </w:rPr>
              <w:t xml:space="preserve">   103,0    </w:t>
            </w:r>
          </w:p>
        </w:tc>
        <w:tc>
          <w:tcPr>
            <w:tcW w:w="1248" w:type="dxa"/>
            <w:tcBorders>
              <w:top w:val="nil"/>
            </w:tcBorders>
          </w:tcPr>
          <w:p w:rsidR="00A41090" w:rsidRDefault="00A41090">
            <w:pPr>
              <w:pStyle w:val="ConsPlusNonformat"/>
              <w:jc w:val="both"/>
            </w:pPr>
            <w:r>
              <w:rPr>
                <w:sz w:val="16"/>
              </w:rPr>
              <w:t xml:space="preserve">   103,0   </w:t>
            </w:r>
          </w:p>
        </w:tc>
      </w:tr>
      <w:tr w:rsidR="00A41090">
        <w:trPr>
          <w:trHeight w:val="160"/>
        </w:trPr>
        <w:tc>
          <w:tcPr>
            <w:tcW w:w="960" w:type="dxa"/>
            <w:tcBorders>
              <w:top w:val="nil"/>
            </w:tcBorders>
          </w:tcPr>
          <w:p w:rsidR="00A41090" w:rsidRDefault="00A41090">
            <w:pPr>
              <w:pStyle w:val="ConsPlusNonformat"/>
              <w:jc w:val="both"/>
            </w:pPr>
            <w:r>
              <w:rPr>
                <w:sz w:val="16"/>
              </w:rPr>
              <w:t xml:space="preserve">  1.3   </w:t>
            </w:r>
          </w:p>
        </w:tc>
        <w:tc>
          <w:tcPr>
            <w:tcW w:w="3360" w:type="dxa"/>
            <w:tcBorders>
              <w:top w:val="nil"/>
            </w:tcBorders>
          </w:tcPr>
          <w:p w:rsidR="00A41090" w:rsidRDefault="00A41090">
            <w:pPr>
              <w:pStyle w:val="ConsPlusNonformat"/>
              <w:jc w:val="both"/>
            </w:pPr>
            <w:r>
              <w:rPr>
                <w:sz w:val="16"/>
              </w:rPr>
              <w:t xml:space="preserve">Фонд заработной платы работников </w:t>
            </w:r>
          </w:p>
          <w:p w:rsidR="00A41090" w:rsidRDefault="00A41090">
            <w:pPr>
              <w:pStyle w:val="ConsPlusNonformat"/>
              <w:jc w:val="both"/>
            </w:pPr>
            <w:r>
              <w:rPr>
                <w:sz w:val="16"/>
              </w:rPr>
              <w:t xml:space="preserve">муниципальных бюджетных          </w:t>
            </w:r>
          </w:p>
          <w:p w:rsidR="00A41090" w:rsidRDefault="00A41090">
            <w:pPr>
              <w:pStyle w:val="ConsPlusNonformat"/>
              <w:jc w:val="both"/>
            </w:pPr>
            <w:r>
              <w:rPr>
                <w:sz w:val="16"/>
              </w:rPr>
              <w:t xml:space="preserve">учреждений                       </w:t>
            </w:r>
          </w:p>
        </w:tc>
        <w:tc>
          <w:tcPr>
            <w:tcW w:w="1152" w:type="dxa"/>
            <w:tcBorders>
              <w:top w:val="nil"/>
            </w:tcBorders>
          </w:tcPr>
          <w:p w:rsidR="00A41090" w:rsidRDefault="00A41090">
            <w:pPr>
              <w:pStyle w:val="ConsPlusNonformat"/>
              <w:jc w:val="both"/>
            </w:pPr>
            <w:r>
              <w:rPr>
                <w:sz w:val="16"/>
              </w:rPr>
              <w:t xml:space="preserve"> млн</w:t>
            </w:r>
            <w:proofErr w:type="gramStart"/>
            <w:r>
              <w:rPr>
                <w:sz w:val="16"/>
              </w:rPr>
              <w:t>.р</w:t>
            </w:r>
            <w:proofErr w:type="gramEnd"/>
            <w:r>
              <w:rPr>
                <w:sz w:val="16"/>
              </w:rPr>
              <w:t xml:space="preserve">уб. </w:t>
            </w:r>
          </w:p>
        </w:tc>
        <w:tc>
          <w:tcPr>
            <w:tcW w:w="1248" w:type="dxa"/>
            <w:tcBorders>
              <w:top w:val="nil"/>
            </w:tcBorders>
          </w:tcPr>
          <w:p w:rsidR="00A41090" w:rsidRDefault="00A41090">
            <w:pPr>
              <w:pStyle w:val="ConsPlusNonformat"/>
              <w:jc w:val="both"/>
            </w:pPr>
          </w:p>
        </w:tc>
        <w:tc>
          <w:tcPr>
            <w:tcW w:w="1152" w:type="dxa"/>
            <w:tcBorders>
              <w:top w:val="nil"/>
            </w:tcBorders>
          </w:tcPr>
          <w:p w:rsidR="00A41090" w:rsidRDefault="00A41090">
            <w:pPr>
              <w:pStyle w:val="ConsPlusNonformat"/>
              <w:jc w:val="both"/>
            </w:pPr>
            <w:r>
              <w:rPr>
                <w:sz w:val="16"/>
              </w:rPr>
              <w:t xml:space="preserve">  6687,3  </w:t>
            </w:r>
          </w:p>
        </w:tc>
        <w:tc>
          <w:tcPr>
            <w:tcW w:w="1056" w:type="dxa"/>
            <w:tcBorders>
              <w:top w:val="nil"/>
            </w:tcBorders>
          </w:tcPr>
          <w:p w:rsidR="00A41090" w:rsidRDefault="00A41090">
            <w:pPr>
              <w:pStyle w:val="ConsPlusNonformat"/>
              <w:jc w:val="both"/>
            </w:pPr>
            <w:r>
              <w:rPr>
                <w:sz w:val="16"/>
              </w:rPr>
              <w:t xml:space="preserve"> 6971,1  </w:t>
            </w:r>
          </w:p>
        </w:tc>
        <w:tc>
          <w:tcPr>
            <w:tcW w:w="1152" w:type="dxa"/>
            <w:tcBorders>
              <w:top w:val="nil"/>
            </w:tcBorders>
          </w:tcPr>
          <w:p w:rsidR="00A41090" w:rsidRDefault="00A41090">
            <w:pPr>
              <w:pStyle w:val="ConsPlusNonformat"/>
              <w:jc w:val="both"/>
            </w:pPr>
            <w:r>
              <w:rPr>
                <w:sz w:val="16"/>
              </w:rPr>
              <w:t xml:space="preserve">  7240,7  </w:t>
            </w:r>
          </w:p>
        </w:tc>
        <w:tc>
          <w:tcPr>
            <w:tcW w:w="1344" w:type="dxa"/>
            <w:tcBorders>
              <w:top w:val="nil"/>
            </w:tcBorders>
          </w:tcPr>
          <w:p w:rsidR="00A41090" w:rsidRDefault="00A41090">
            <w:pPr>
              <w:pStyle w:val="ConsPlusNonformat"/>
              <w:jc w:val="both"/>
            </w:pPr>
            <w:r>
              <w:rPr>
                <w:sz w:val="16"/>
              </w:rPr>
              <w:t xml:space="preserve">   7309,4   </w:t>
            </w:r>
          </w:p>
        </w:tc>
        <w:tc>
          <w:tcPr>
            <w:tcW w:w="1344" w:type="dxa"/>
            <w:tcBorders>
              <w:top w:val="nil"/>
            </w:tcBorders>
          </w:tcPr>
          <w:p w:rsidR="00A41090" w:rsidRDefault="00A41090">
            <w:pPr>
              <w:pStyle w:val="ConsPlusNonformat"/>
              <w:jc w:val="both"/>
            </w:pPr>
            <w:r>
              <w:rPr>
                <w:sz w:val="16"/>
              </w:rPr>
              <w:t xml:space="preserve">   7343,6   </w:t>
            </w:r>
          </w:p>
        </w:tc>
        <w:tc>
          <w:tcPr>
            <w:tcW w:w="1248" w:type="dxa"/>
            <w:tcBorders>
              <w:top w:val="nil"/>
            </w:tcBorders>
          </w:tcPr>
          <w:p w:rsidR="00A41090" w:rsidRDefault="00A41090">
            <w:pPr>
              <w:pStyle w:val="ConsPlusNonformat"/>
              <w:jc w:val="both"/>
            </w:pPr>
            <w:r>
              <w:rPr>
                <w:sz w:val="16"/>
              </w:rPr>
              <w:t xml:space="preserve">  7343,6   </w:t>
            </w:r>
          </w:p>
        </w:tc>
      </w:tr>
      <w:tr w:rsidR="00A41090">
        <w:trPr>
          <w:trHeight w:val="160"/>
        </w:trPr>
        <w:tc>
          <w:tcPr>
            <w:tcW w:w="960" w:type="dxa"/>
            <w:vMerge w:val="restart"/>
            <w:tcBorders>
              <w:top w:val="nil"/>
            </w:tcBorders>
          </w:tcPr>
          <w:p w:rsidR="00A41090" w:rsidRDefault="00A41090">
            <w:pPr>
              <w:pStyle w:val="ConsPlusNonformat"/>
              <w:jc w:val="both"/>
            </w:pPr>
          </w:p>
        </w:tc>
        <w:tc>
          <w:tcPr>
            <w:tcW w:w="3360" w:type="dxa"/>
            <w:vMerge w:val="restart"/>
            <w:tcBorders>
              <w:top w:val="nil"/>
            </w:tcBorders>
          </w:tcPr>
          <w:p w:rsidR="00A41090" w:rsidRDefault="00A41090">
            <w:pPr>
              <w:pStyle w:val="ConsPlusNonformat"/>
              <w:jc w:val="both"/>
            </w:pPr>
            <w:proofErr w:type="spellStart"/>
            <w:proofErr w:type="gramStart"/>
            <w:r>
              <w:rPr>
                <w:sz w:val="16"/>
              </w:rPr>
              <w:t>Справочно</w:t>
            </w:r>
            <w:proofErr w:type="spellEnd"/>
            <w:r>
              <w:rPr>
                <w:sz w:val="16"/>
              </w:rPr>
              <w:t>: среднемесячная</w:t>
            </w:r>
            <w:proofErr w:type="gramEnd"/>
            <w:r>
              <w:rPr>
                <w:sz w:val="16"/>
              </w:rPr>
              <w:t xml:space="preserve">        </w:t>
            </w:r>
          </w:p>
          <w:p w:rsidR="00A41090" w:rsidRDefault="00A41090">
            <w:pPr>
              <w:pStyle w:val="ConsPlusNonformat"/>
              <w:jc w:val="both"/>
            </w:pPr>
            <w:r>
              <w:rPr>
                <w:sz w:val="16"/>
              </w:rPr>
              <w:t xml:space="preserve">заработная плата работников      </w:t>
            </w:r>
          </w:p>
          <w:p w:rsidR="00A41090" w:rsidRDefault="00A41090">
            <w:pPr>
              <w:pStyle w:val="ConsPlusNonformat"/>
              <w:jc w:val="both"/>
            </w:pPr>
            <w:r>
              <w:rPr>
                <w:sz w:val="16"/>
              </w:rPr>
              <w:t xml:space="preserve">крупных и средних предприятий и  </w:t>
            </w:r>
          </w:p>
          <w:p w:rsidR="00A41090" w:rsidRDefault="00A41090">
            <w:pPr>
              <w:pStyle w:val="ConsPlusNonformat"/>
              <w:jc w:val="both"/>
            </w:pPr>
            <w:proofErr w:type="gramStart"/>
            <w:r>
              <w:rPr>
                <w:sz w:val="16"/>
              </w:rPr>
              <w:t xml:space="preserve">организаций (без внешних         </w:t>
            </w:r>
            <w:proofErr w:type="gramEnd"/>
          </w:p>
          <w:p w:rsidR="00A41090" w:rsidRDefault="00A41090">
            <w:pPr>
              <w:pStyle w:val="ConsPlusNonformat"/>
              <w:jc w:val="both"/>
            </w:pPr>
            <w:r>
              <w:rPr>
                <w:sz w:val="16"/>
              </w:rPr>
              <w:t xml:space="preserve">совместителей)                   </w:t>
            </w:r>
          </w:p>
        </w:tc>
        <w:tc>
          <w:tcPr>
            <w:tcW w:w="1152" w:type="dxa"/>
            <w:vMerge w:val="restart"/>
            <w:tcBorders>
              <w:top w:val="nil"/>
            </w:tcBorders>
          </w:tcPr>
          <w:p w:rsidR="00A41090" w:rsidRDefault="00A41090">
            <w:pPr>
              <w:pStyle w:val="ConsPlusNonformat"/>
              <w:jc w:val="both"/>
            </w:pPr>
            <w:r>
              <w:rPr>
                <w:sz w:val="16"/>
              </w:rPr>
              <w:t xml:space="preserve">   руб.   </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 35991,8  </w:t>
            </w:r>
          </w:p>
        </w:tc>
        <w:tc>
          <w:tcPr>
            <w:tcW w:w="1056" w:type="dxa"/>
            <w:vMerge w:val="restart"/>
            <w:tcBorders>
              <w:top w:val="nil"/>
            </w:tcBorders>
          </w:tcPr>
          <w:p w:rsidR="00A41090" w:rsidRDefault="00A41090">
            <w:pPr>
              <w:pStyle w:val="ConsPlusNonformat"/>
              <w:jc w:val="both"/>
            </w:pPr>
            <w:r>
              <w:rPr>
                <w:sz w:val="16"/>
              </w:rPr>
              <w:t xml:space="preserve"> 36728,4 </w:t>
            </w:r>
          </w:p>
        </w:tc>
        <w:tc>
          <w:tcPr>
            <w:tcW w:w="1152" w:type="dxa"/>
            <w:vMerge w:val="restart"/>
            <w:tcBorders>
              <w:top w:val="nil"/>
            </w:tcBorders>
          </w:tcPr>
          <w:p w:rsidR="00A41090" w:rsidRDefault="00A41090">
            <w:pPr>
              <w:pStyle w:val="ConsPlusNonformat"/>
              <w:jc w:val="both"/>
            </w:pPr>
            <w:r>
              <w:rPr>
                <w:sz w:val="16"/>
              </w:rPr>
              <w:t xml:space="preserve"> 38700,0  </w:t>
            </w:r>
          </w:p>
        </w:tc>
        <w:tc>
          <w:tcPr>
            <w:tcW w:w="1344" w:type="dxa"/>
            <w:tcBorders>
              <w:top w:val="nil"/>
            </w:tcBorders>
          </w:tcPr>
          <w:p w:rsidR="00A41090" w:rsidRDefault="00A41090">
            <w:pPr>
              <w:pStyle w:val="ConsPlusNonformat"/>
              <w:jc w:val="both"/>
            </w:pPr>
            <w:r>
              <w:rPr>
                <w:sz w:val="16"/>
              </w:rPr>
              <w:t xml:space="preserve">  40650,0   </w:t>
            </w:r>
          </w:p>
        </w:tc>
        <w:tc>
          <w:tcPr>
            <w:tcW w:w="1344" w:type="dxa"/>
            <w:tcBorders>
              <w:top w:val="nil"/>
            </w:tcBorders>
          </w:tcPr>
          <w:p w:rsidR="00A41090" w:rsidRDefault="00A41090">
            <w:pPr>
              <w:pStyle w:val="ConsPlusNonformat"/>
              <w:jc w:val="both"/>
            </w:pPr>
            <w:r>
              <w:rPr>
                <w:sz w:val="16"/>
              </w:rPr>
              <w:t xml:space="preserve">  42650,0   </w:t>
            </w:r>
          </w:p>
        </w:tc>
        <w:tc>
          <w:tcPr>
            <w:tcW w:w="1248" w:type="dxa"/>
            <w:tcBorders>
              <w:top w:val="nil"/>
            </w:tcBorders>
          </w:tcPr>
          <w:p w:rsidR="00A41090" w:rsidRDefault="00A41090">
            <w:pPr>
              <w:pStyle w:val="ConsPlusNonformat"/>
              <w:jc w:val="both"/>
            </w:pPr>
            <w:r>
              <w:rPr>
                <w:sz w:val="16"/>
              </w:rPr>
              <w:t xml:space="preserve">  44900,0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40400,0   </w:t>
            </w:r>
          </w:p>
        </w:tc>
        <w:tc>
          <w:tcPr>
            <w:tcW w:w="1344" w:type="dxa"/>
            <w:tcBorders>
              <w:top w:val="nil"/>
            </w:tcBorders>
          </w:tcPr>
          <w:p w:rsidR="00A41090" w:rsidRDefault="00A41090">
            <w:pPr>
              <w:pStyle w:val="ConsPlusNonformat"/>
              <w:jc w:val="both"/>
            </w:pPr>
            <w:r>
              <w:rPr>
                <w:sz w:val="16"/>
              </w:rPr>
              <w:t xml:space="preserve">  41900,0   </w:t>
            </w:r>
          </w:p>
        </w:tc>
        <w:tc>
          <w:tcPr>
            <w:tcW w:w="1248" w:type="dxa"/>
            <w:tcBorders>
              <w:top w:val="nil"/>
            </w:tcBorders>
          </w:tcPr>
          <w:p w:rsidR="00A41090" w:rsidRDefault="00A41090">
            <w:pPr>
              <w:pStyle w:val="ConsPlusNonformat"/>
              <w:jc w:val="both"/>
            </w:pPr>
            <w:r>
              <w:rPr>
                <w:sz w:val="16"/>
              </w:rPr>
              <w:t xml:space="preserve">  43650,0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39950,0   </w:t>
            </w:r>
          </w:p>
        </w:tc>
        <w:tc>
          <w:tcPr>
            <w:tcW w:w="1344" w:type="dxa"/>
            <w:tcBorders>
              <w:top w:val="nil"/>
            </w:tcBorders>
          </w:tcPr>
          <w:p w:rsidR="00A41090" w:rsidRDefault="00A41090">
            <w:pPr>
              <w:pStyle w:val="ConsPlusNonformat"/>
              <w:jc w:val="both"/>
            </w:pPr>
            <w:r>
              <w:rPr>
                <w:sz w:val="16"/>
              </w:rPr>
              <w:t xml:space="preserve">  41100,0   </w:t>
            </w:r>
          </w:p>
        </w:tc>
        <w:tc>
          <w:tcPr>
            <w:tcW w:w="1248" w:type="dxa"/>
            <w:tcBorders>
              <w:top w:val="nil"/>
            </w:tcBorders>
          </w:tcPr>
          <w:p w:rsidR="00A41090" w:rsidRDefault="00A41090">
            <w:pPr>
              <w:pStyle w:val="ConsPlusNonformat"/>
              <w:jc w:val="both"/>
            </w:pPr>
            <w:r>
              <w:rPr>
                <w:sz w:val="16"/>
              </w:rPr>
              <w:t xml:space="preserve">  42350,0  </w:t>
            </w:r>
          </w:p>
        </w:tc>
      </w:tr>
      <w:tr w:rsidR="00A41090">
        <w:trPr>
          <w:trHeight w:val="160"/>
        </w:trPr>
        <w:tc>
          <w:tcPr>
            <w:tcW w:w="960" w:type="dxa"/>
            <w:tcBorders>
              <w:top w:val="nil"/>
            </w:tcBorders>
          </w:tcPr>
          <w:p w:rsidR="00A41090" w:rsidRDefault="00A41090">
            <w:pPr>
              <w:pStyle w:val="ConsPlusNonformat"/>
              <w:jc w:val="both"/>
            </w:pPr>
            <w:r>
              <w:rPr>
                <w:sz w:val="16"/>
              </w:rPr>
              <w:t xml:space="preserve">   2    </w:t>
            </w:r>
          </w:p>
        </w:tc>
        <w:tc>
          <w:tcPr>
            <w:tcW w:w="13056" w:type="dxa"/>
            <w:gridSpan w:val="9"/>
            <w:tcBorders>
              <w:top w:val="nil"/>
            </w:tcBorders>
          </w:tcPr>
          <w:p w:rsidR="00A41090" w:rsidRDefault="00A41090">
            <w:pPr>
              <w:pStyle w:val="ConsPlusNonformat"/>
              <w:jc w:val="both"/>
            </w:pPr>
            <w:r>
              <w:rPr>
                <w:sz w:val="16"/>
              </w:rPr>
              <w:t xml:space="preserve">Труд и занятость                                                                                                              </w:t>
            </w:r>
          </w:p>
        </w:tc>
      </w:tr>
      <w:tr w:rsidR="00A41090">
        <w:trPr>
          <w:trHeight w:val="160"/>
        </w:trPr>
        <w:tc>
          <w:tcPr>
            <w:tcW w:w="960" w:type="dxa"/>
            <w:vMerge w:val="restart"/>
            <w:tcBorders>
              <w:top w:val="nil"/>
            </w:tcBorders>
          </w:tcPr>
          <w:p w:rsidR="00A41090" w:rsidRDefault="00A41090">
            <w:pPr>
              <w:pStyle w:val="ConsPlusNonformat"/>
              <w:jc w:val="both"/>
            </w:pPr>
            <w:r>
              <w:rPr>
                <w:sz w:val="16"/>
              </w:rPr>
              <w:t xml:space="preserve">  2.1   </w:t>
            </w:r>
          </w:p>
        </w:tc>
        <w:tc>
          <w:tcPr>
            <w:tcW w:w="3360" w:type="dxa"/>
            <w:vMerge w:val="restart"/>
            <w:tcBorders>
              <w:top w:val="nil"/>
            </w:tcBorders>
          </w:tcPr>
          <w:p w:rsidR="00A41090" w:rsidRDefault="00A41090">
            <w:pPr>
              <w:pStyle w:val="ConsPlusNonformat"/>
              <w:jc w:val="both"/>
            </w:pPr>
            <w:r>
              <w:rPr>
                <w:sz w:val="16"/>
              </w:rPr>
              <w:t xml:space="preserve">Среднесписочная численность      </w:t>
            </w:r>
          </w:p>
          <w:p w:rsidR="00A41090" w:rsidRDefault="00A41090">
            <w:pPr>
              <w:pStyle w:val="ConsPlusNonformat"/>
              <w:jc w:val="both"/>
            </w:pPr>
            <w:r>
              <w:rPr>
                <w:sz w:val="16"/>
              </w:rPr>
              <w:t xml:space="preserve">работающих на крупных и средних  </w:t>
            </w:r>
          </w:p>
          <w:p w:rsidR="00A41090" w:rsidRDefault="00A41090">
            <w:pPr>
              <w:pStyle w:val="ConsPlusNonformat"/>
              <w:jc w:val="both"/>
            </w:pPr>
            <w:proofErr w:type="gramStart"/>
            <w:r>
              <w:rPr>
                <w:sz w:val="16"/>
              </w:rPr>
              <w:t xml:space="preserve">предприятиях города (без внешних </w:t>
            </w:r>
            <w:proofErr w:type="gramEnd"/>
          </w:p>
          <w:p w:rsidR="00A41090" w:rsidRDefault="00A41090">
            <w:pPr>
              <w:pStyle w:val="ConsPlusNonformat"/>
              <w:jc w:val="both"/>
            </w:pPr>
            <w:r>
              <w:rPr>
                <w:sz w:val="16"/>
              </w:rPr>
              <w:t xml:space="preserve">совместителей)                   </w:t>
            </w:r>
          </w:p>
        </w:tc>
        <w:tc>
          <w:tcPr>
            <w:tcW w:w="1152" w:type="dxa"/>
            <w:vMerge w:val="restart"/>
            <w:tcBorders>
              <w:top w:val="nil"/>
            </w:tcBorders>
          </w:tcPr>
          <w:p w:rsidR="00A41090" w:rsidRDefault="00A41090">
            <w:pPr>
              <w:pStyle w:val="ConsPlusNonformat"/>
              <w:jc w:val="both"/>
            </w:pPr>
            <w:r>
              <w:rPr>
                <w:sz w:val="16"/>
              </w:rPr>
              <w:t xml:space="preserve"> тыс</w:t>
            </w:r>
            <w:proofErr w:type="gramStart"/>
            <w:r>
              <w:rPr>
                <w:sz w:val="16"/>
              </w:rPr>
              <w:t>.ч</w:t>
            </w:r>
            <w:proofErr w:type="gramEnd"/>
            <w:r>
              <w:rPr>
                <w:sz w:val="16"/>
              </w:rPr>
              <w:t xml:space="preserve">ел. </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  297,2   </w:t>
            </w:r>
          </w:p>
        </w:tc>
        <w:tc>
          <w:tcPr>
            <w:tcW w:w="1056" w:type="dxa"/>
            <w:vMerge w:val="restart"/>
            <w:tcBorders>
              <w:top w:val="nil"/>
            </w:tcBorders>
          </w:tcPr>
          <w:p w:rsidR="00A41090" w:rsidRDefault="00A41090">
            <w:pPr>
              <w:pStyle w:val="ConsPlusNonformat"/>
              <w:jc w:val="both"/>
            </w:pPr>
            <w:r>
              <w:rPr>
                <w:sz w:val="16"/>
              </w:rPr>
              <w:t xml:space="preserve">  295,0  </w:t>
            </w:r>
          </w:p>
        </w:tc>
        <w:tc>
          <w:tcPr>
            <w:tcW w:w="1152" w:type="dxa"/>
            <w:vMerge w:val="restart"/>
            <w:tcBorders>
              <w:top w:val="nil"/>
            </w:tcBorders>
          </w:tcPr>
          <w:p w:rsidR="00A41090" w:rsidRDefault="00A41090">
            <w:pPr>
              <w:pStyle w:val="ConsPlusNonformat"/>
              <w:jc w:val="both"/>
            </w:pPr>
            <w:r>
              <w:rPr>
                <w:sz w:val="16"/>
              </w:rPr>
              <w:t xml:space="preserve">  292,8   </w:t>
            </w:r>
          </w:p>
        </w:tc>
        <w:tc>
          <w:tcPr>
            <w:tcW w:w="1344" w:type="dxa"/>
            <w:tcBorders>
              <w:top w:val="nil"/>
            </w:tcBorders>
          </w:tcPr>
          <w:p w:rsidR="00A41090" w:rsidRDefault="00A41090">
            <w:pPr>
              <w:pStyle w:val="ConsPlusNonformat"/>
              <w:jc w:val="both"/>
            </w:pPr>
            <w:r>
              <w:rPr>
                <w:sz w:val="16"/>
              </w:rPr>
              <w:t xml:space="preserve">   293,4    </w:t>
            </w:r>
          </w:p>
        </w:tc>
        <w:tc>
          <w:tcPr>
            <w:tcW w:w="1344" w:type="dxa"/>
            <w:tcBorders>
              <w:top w:val="nil"/>
            </w:tcBorders>
          </w:tcPr>
          <w:p w:rsidR="00A41090" w:rsidRDefault="00A41090">
            <w:pPr>
              <w:pStyle w:val="ConsPlusNonformat"/>
              <w:jc w:val="both"/>
            </w:pPr>
            <w:r>
              <w:rPr>
                <w:sz w:val="16"/>
              </w:rPr>
              <w:t xml:space="preserve">   293,7    </w:t>
            </w:r>
          </w:p>
        </w:tc>
        <w:tc>
          <w:tcPr>
            <w:tcW w:w="1248" w:type="dxa"/>
            <w:tcBorders>
              <w:top w:val="nil"/>
            </w:tcBorders>
          </w:tcPr>
          <w:p w:rsidR="00A41090" w:rsidRDefault="00A41090">
            <w:pPr>
              <w:pStyle w:val="ConsPlusNonformat"/>
              <w:jc w:val="both"/>
            </w:pPr>
            <w:r>
              <w:rPr>
                <w:sz w:val="16"/>
              </w:rPr>
              <w:t xml:space="preserve">   294,0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292,8    </w:t>
            </w:r>
          </w:p>
        </w:tc>
        <w:tc>
          <w:tcPr>
            <w:tcW w:w="1344" w:type="dxa"/>
            <w:tcBorders>
              <w:top w:val="nil"/>
            </w:tcBorders>
          </w:tcPr>
          <w:p w:rsidR="00A41090" w:rsidRDefault="00A41090">
            <w:pPr>
              <w:pStyle w:val="ConsPlusNonformat"/>
              <w:jc w:val="both"/>
            </w:pPr>
            <w:r>
              <w:rPr>
                <w:sz w:val="16"/>
              </w:rPr>
              <w:t xml:space="preserve">   293,0    </w:t>
            </w:r>
          </w:p>
        </w:tc>
        <w:tc>
          <w:tcPr>
            <w:tcW w:w="1248" w:type="dxa"/>
            <w:tcBorders>
              <w:top w:val="nil"/>
            </w:tcBorders>
          </w:tcPr>
          <w:p w:rsidR="00A41090" w:rsidRDefault="00A41090">
            <w:pPr>
              <w:pStyle w:val="ConsPlusNonformat"/>
              <w:jc w:val="both"/>
            </w:pPr>
            <w:r>
              <w:rPr>
                <w:sz w:val="16"/>
              </w:rPr>
              <w:t xml:space="preserve">   293,1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292,6    </w:t>
            </w:r>
          </w:p>
        </w:tc>
        <w:tc>
          <w:tcPr>
            <w:tcW w:w="1344" w:type="dxa"/>
            <w:tcBorders>
              <w:top w:val="nil"/>
            </w:tcBorders>
          </w:tcPr>
          <w:p w:rsidR="00A41090" w:rsidRDefault="00A41090">
            <w:pPr>
              <w:pStyle w:val="ConsPlusNonformat"/>
              <w:jc w:val="both"/>
            </w:pPr>
            <w:r>
              <w:rPr>
                <w:sz w:val="16"/>
              </w:rPr>
              <w:t xml:space="preserve">   292,7    </w:t>
            </w:r>
          </w:p>
        </w:tc>
        <w:tc>
          <w:tcPr>
            <w:tcW w:w="1248" w:type="dxa"/>
            <w:tcBorders>
              <w:top w:val="nil"/>
            </w:tcBorders>
          </w:tcPr>
          <w:p w:rsidR="00A41090" w:rsidRDefault="00A41090">
            <w:pPr>
              <w:pStyle w:val="ConsPlusNonformat"/>
              <w:jc w:val="both"/>
            </w:pPr>
            <w:r>
              <w:rPr>
                <w:sz w:val="16"/>
              </w:rPr>
              <w:t xml:space="preserve">   292,8   </w:t>
            </w:r>
          </w:p>
        </w:tc>
      </w:tr>
      <w:tr w:rsidR="00A41090">
        <w:trPr>
          <w:trHeight w:val="160"/>
        </w:trPr>
        <w:tc>
          <w:tcPr>
            <w:tcW w:w="960" w:type="dxa"/>
            <w:vMerge w:val="restart"/>
            <w:tcBorders>
              <w:top w:val="nil"/>
            </w:tcBorders>
          </w:tcPr>
          <w:p w:rsidR="00A41090" w:rsidRDefault="00A41090">
            <w:pPr>
              <w:pStyle w:val="ConsPlusNonformat"/>
              <w:jc w:val="both"/>
            </w:pPr>
            <w:r>
              <w:rPr>
                <w:sz w:val="16"/>
              </w:rPr>
              <w:t xml:space="preserve">  2.2   </w:t>
            </w:r>
          </w:p>
        </w:tc>
        <w:tc>
          <w:tcPr>
            <w:tcW w:w="3360" w:type="dxa"/>
            <w:vMerge w:val="restart"/>
            <w:tcBorders>
              <w:top w:val="nil"/>
            </w:tcBorders>
          </w:tcPr>
          <w:p w:rsidR="00A41090" w:rsidRDefault="00A41090">
            <w:pPr>
              <w:pStyle w:val="ConsPlusNonformat"/>
              <w:jc w:val="both"/>
            </w:pPr>
            <w:r>
              <w:rPr>
                <w:sz w:val="16"/>
              </w:rPr>
              <w:t xml:space="preserve">Среднесписочная численность      </w:t>
            </w:r>
          </w:p>
          <w:p w:rsidR="00A41090" w:rsidRDefault="00A41090">
            <w:pPr>
              <w:pStyle w:val="ConsPlusNonformat"/>
              <w:jc w:val="both"/>
            </w:pPr>
            <w:r>
              <w:rPr>
                <w:sz w:val="16"/>
              </w:rPr>
              <w:t xml:space="preserve">работающих на крупных и средних  </w:t>
            </w:r>
          </w:p>
          <w:p w:rsidR="00A41090" w:rsidRDefault="00A41090">
            <w:pPr>
              <w:pStyle w:val="ConsPlusNonformat"/>
              <w:jc w:val="both"/>
            </w:pPr>
            <w:proofErr w:type="gramStart"/>
            <w:r>
              <w:rPr>
                <w:sz w:val="16"/>
              </w:rPr>
              <w:t xml:space="preserve">предприятиях города (с внешними  </w:t>
            </w:r>
            <w:proofErr w:type="gramEnd"/>
          </w:p>
          <w:p w:rsidR="00A41090" w:rsidRDefault="00A41090">
            <w:pPr>
              <w:pStyle w:val="ConsPlusNonformat"/>
              <w:jc w:val="both"/>
            </w:pPr>
            <w:r>
              <w:rPr>
                <w:sz w:val="16"/>
              </w:rPr>
              <w:t xml:space="preserve">совместителями)                  </w:t>
            </w:r>
          </w:p>
        </w:tc>
        <w:tc>
          <w:tcPr>
            <w:tcW w:w="1152" w:type="dxa"/>
            <w:vMerge w:val="restart"/>
            <w:tcBorders>
              <w:top w:val="nil"/>
            </w:tcBorders>
          </w:tcPr>
          <w:p w:rsidR="00A41090" w:rsidRDefault="00A41090">
            <w:pPr>
              <w:pStyle w:val="ConsPlusNonformat"/>
              <w:jc w:val="both"/>
            </w:pPr>
            <w:r>
              <w:rPr>
                <w:sz w:val="16"/>
              </w:rPr>
              <w:t xml:space="preserve"> тыс</w:t>
            </w:r>
            <w:proofErr w:type="gramStart"/>
            <w:r>
              <w:rPr>
                <w:sz w:val="16"/>
              </w:rPr>
              <w:t>.ч</w:t>
            </w:r>
            <w:proofErr w:type="gramEnd"/>
            <w:r>
              <w:rPr>
                <w:sz w:val="16"/>
              </w:rPr>
              <w:t xml:space="preserve">ел. </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  313,2   </w:t>
            </w:r>
          </w:p>
        </w:tc>
        <w:tc>
          <w:tcPr>
            <w:tcW w:w="1056" w:type="dxa"/>
            <w:vMerge w:val="restart"/>
            <w:tcBorders>
              <w:top w:val="nil"/>
            </w:tcBorders>
          </w:tcPr>
          <w:p w:rsidR="00A41090" w:rsidRDefault="00A41090">
            <w:pPr>
              <w:pStyle w:val="ConsPlusNonformat"/>
              <w:jc w:val="both"/>
            </w:pPr>
            <w:r>
              <w:rPr>
                <w:sz w:val="16"/>
              </w:rPr>
              <w:t xml:space="preserve">  309,8  </w:t>
            </w:r>
          </w:p>
        </w:tc>
        <w:tc>
          <w:tcPr>
            <w:tcW w:w="1152" w:type="dxa"/>
            <w:vMerge w:val="restart"/>
            <w:tcBorders>
              <w:top w:val="nil"/>
            </w:tcBorders>
          </w:tcPr>
          <w:p w:rsidR="00A41090" w:rsidRDefault="00A41090">
            <w:pPr>
              <w:pStyle w:val="ConsPlusNonformat"/>
              <w:jc w:val="both"/>
            </w:pPr>
            <w:r>
              <w:rPr>
                <w:sz w:val="16"/>
              </w:rPr>
              <w:t xml:space="preserve">  305,3   </w:t>
            </w:r>
          </w:p>
        </w:tc>
        <w:tc>
          <w:tcPr>
            <w:tcW w:w="1344" w:type="dxa"/>
            <w:tcBorders>
              <w:top w:val="nil"/>
            </w:tcBorders>
          </w:tcPr>
          <w:p w:rsidR="00A41090" w:rsidRDefault="00A41090">
            <w:pPr>
              <w:pStyle w:val="ConsPlusNonformat"/>
              <w:jc w:val="both"/>
            </w:pPr>
            <w:r>
              <w:rPr>
                <w:sz w:val="16"/>
              </w:rPr>
              <w:t xml:space="preserve">   305,6    </w:t>
            </w:r>
          </w:p>
        </w:tc>
        <w:tc>
          <w:tcPr>
            <w:tcW w:w="1344" w:type="dxa"/>
            <w:tcBorders>
              <w:top w:val="nil"/>
            </w:tcBorders>
          </w:tcPr>
          <w:p w:rsidR="00A41090" w:rsidRDefault="00A41090">
            <w:pPr>
              <w:pStyle w:val="ConsPlusNonformat"/>
              <w:jc w:val="both"/>
            </w:pPr>
            <w:r>
              <w:rPr>
                <w:sz w:val="16"/>
              </w:rPr>
              <w:t xml:space="preserve">   305,8    </w:t>
            </w:r>
          </w:p>
        </w:tc>
        <w:tc>
          <w:tcPr>
            <w:tcW w:w="1248" w:type="dxa"/>
            <w:tcBorders>
              <w:top w:val="nil"/>
            </w:tcBorders>
          </w:tcPr>
          <w:p w:rsidR="00A41090" w:rsidRDefault="00A41090">
            <w:pPr>
              <w:pStyle w:val="ConsPlusNonformat"/>
              <w:jc w:val="both"/>
            </w:pPr>
            <w:r>
              <w:rPr>
                <w:sz w:val="16"/>
              </w:rPr>
              <w:t xml:space="preserve">   306,1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305,3    </w:t>
            </w:r>
          </w:p>
        </w:tc>
        <w:tc>
          <w:tcPr>
            <w:tcW w:w="1344" w:type="dxa"/>
            <w:tcBorders>
              <w:top w:val="nil"/>
            </w:tcBorders>
          </w:tcPr>
          <w:p w:rsidR="00A41090" w:rsidRDefault="00A41090">
            <w:pPr>
              <w:pStyle w:val="ConsPlusNonformat"/>
              <w:jc w:val="both"/>
            </w:pPr>
            <w:r>
              <w:rPr>
                <w:sz w:val="16"/>
              </w:rPr>
              <w:t xml:space="preserve">   305,5    </w:t>
            </w:r>
          </w:p>
        </w:tc>
        <w:tc>
          <w:tcPr>
            <w:tcW w:w="1248" w:type="dxa"/>
            <w:tcBorders>
              <w:top w:val="nil"/>
            </w:tcBorders>
          </w:tcPr>
          <w:p w:rsidR="00A41090" w:rsidRDefault="00A41090">
            <w:pPr>
              <w:pStyle w:val="ConsPlusNonformat"/>
              <w:jc w:val="both"/>
            </w:pPr>
            <w:r>
              <w:rPr>
                <w:sz w:val="16"/>
              </w:rPr>
              <w:t xml:space="preserve">   305,7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304,8    </w:t>
            </w:r>
          </w:p>
        </w:tc>
        <w:tc>
          <w:tcPr>
            <w:tcW w:w="1344" w:type="dxa"/>
            <w:tcBorders>
              <w:top w:val="nil"/>
            </w:tcBorders>
          </w:tcPr>
          <w:p w:rsidR="00A41090" w:rsidRDefault="00A41090">
            <w:pPr>
              <w:pStyle w:val="ConsPlusNonformat"/>
              <w:jc w:val="both"/>
            </w:pPr>
            <w:r>
              <w:rPr>
                <w:sz w:val="16"/>
              </w:rPr>
              <w:t xml:space="preserve">   305,1    </w:t>
            </w:r>
          </w:p>
        </w:tc>
        <w:tc>
          <w:tcPr>
            <w:tcW w:w="1248" w:type="dxa"/>
            <w:tcBorders>
              <w:top w:val="nil"/>
            </w:tcBorders>
          </w:tcPr>
          <w:p w:rsidR="00A41090" w:rsidRDefault="00A41090">
            <w:pPr>
              <w:pStyle w:val="ConsPlusNonformat"/>
              <w:jc w:val="both"/>
            </w:pPr>
            <w:r>
              <w:rPr>
                <w:sz w:val="16"/>
              </w:rPr>
              <w:t xml:space="preserve">   305,3   </w:t>
            </w:r>
          </w:p>
        </w:tc>
      </w:tr>
      <w:tr w:rsidR="00A41090">
        <w:trPr>
          <w:trHeight w:val="160"/>
        </w:trPr>
        <w:tc>
          <w:tcPr>
            <w:tcW w:w="960" w:type="dxa"/>
            <w:vMerge w:val="restart"/>
            <w:tcBorders>
              <w:top w:val="nil"/>
            </w:tcBorders>
          </w:tcPr>
          <w:p w:rsidR="00A41090" w:rsidRDefault="00A41090">
            <w:pPr>
              <w:pStyle w:val="ConsPlusNonformat"/>
              <w:jc w:val="both"/>
            </w:pPr>
            <w:r>
              <w:rPr>
                <w:sz w:val="16"/>
              </w:rPr>
              <w:lastRenderedPageBreak/>
              <w:t xml:space="preserve">  2.3   </w:t>
            </w:r>
          </w:p>
        </w:tc>
        <w:tc>
          <w:tcPr>
            <w:tcW w:w="3360" w:type="dxa"/>
            <w:vMerge w:val="restart"/>
            <w:tcBorders>
              <w:top w:val="nil"/>
            </w:tcBorders>
          </w:tcPr>
          <w:p w:rsidR="00A41090" w:rsidRDefault="00A41090">
            <w:pPr>
              <w:pStyle w:val="ConsPlusNonformat"/>
              <w:jc w:val="both"/>
            </w:pPr>
            <w:r>
              <w:rPr>
                <w:sz w:val="16"/>
              </w:rPr>
              <w:t xml:space="preserve">Численность официально           </w:t>
            </w:r>
          </w:p>
          <w:p w:rsidR="00A41090" w:rsidRDefault="00A41090">
            <w:pPr>
              <w:pStyle w:val="ConsPlusNonformat"/>
              <w:jc w:val="both"/>
            </w:pPr>
            <w:r>
              <w:rPr>
                <w:sz w:val="16"/>
              </w:rPr>
              <w:t xml:space="preserve">зарегистрированных безработных   </w:t>
            </w:r>
          </w:p>
        </w:tc>
        <w:tc>
          <w:tcPr>
            <w:tcW w:w="1152" w:type="dxa"/>
            <w:vMerge w:val="restart"/>
            <w:tcBorders>
              <w:top w:val="nil"/>
            </w:tcBorders>
          </w:tcPr>
          <w:p w:rsidR="00A41090" w:rsidRDefault="00A41090">
            <w:pPr>
              <w:pStyle w:val="ConsPlusNonformat"/>
              <w:jc w:val="both"/>
            </w:pPr>
            <w:r>
              <w:rPr>
                <w:sz w:val="16"/>
              </w:rPr>
              <w:t xml:space="preserve"> тыс</w:t>
            </w:r>
            <w:proofErr w:type="gramStart"/>
            <w:r>
              <w:rPr>
                <w:sz w:val="16"/>
              </w:rPr>
              <w:t>.ч</w:t>
            </w:r>
            <w:proofErr w:type="gramEnd"/>
            <w:r>
              <w:rPr>
                <w:sz w:val="16"/>
              </w:rPr>
              <w:t xml:space="preserve">ел. </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   3,5    </w:t>
            </w:r>
          </w:p>
        </w:tc>
        <w:tc>
          <w:tcPr>
            <w:tcW w:w="1056" w:type="dxa"/>
            <w:vMerge w:val="restart"/>
            <w:tcBorders>
              <w:top w:val="nil"/>
            </w:tcBorders>
          </w:tcPr>
          <w:p w:rsidR="00A41090" w:rsidRDefault="00A41090">
            <w:pPr>
              <w:pStyle w:val="ConsPlusNonformat"/>
              <w:jc w:val="both"/>
            </w:pPr>
            <w:r>
              <w:rPr>
                <w:sz w:val="16"/>
              </w:rPr>
              <w:t xml:space="preserve">   5,0   </w:t>
            </w:r>
          </w:p>
        </w:tc>
        <w:tc>
          <w:tcPr>
            <w:tcW w:w="1152" w:type="dxa"/>
            <w:vMerge w:val="restart"/>
            <w:tcBorders>
              <w:top w:val="nil"/>
            </w:tcBorders>
          </w:tcPr>
          <w:p w:rsidR="00A41090" w:rsidRDefault="00A41090">
            <w:pPr>
              <w:pStyle w:val="ConsPlusNonformat"/>
              <w:jc w:val="both"/>
            </w:pPr>
            <w:r>
              <w:rPr>
                <w:sz w:val="16"/>
              </w:rPr>
              <w:t xml:space="preserve">   4,8    </w:t>
            </w:r>
          </w:p>
        </w:tc>
        <w:tc>
          <w:tcPr>
            <w:tcW w:w="1344" w:type="dxa"/>
            <w:tcBorders>
              <w:top w:val="nil"/>
            </w:tcBorders>
          </w:tcPr>
          <w:p w:rsidR="00A41090" w:rsidRDefault="00A41090">
            <w:pPr>
              <w:pStyle w:val="ConsPlusNonformat"/>
              <w:jc w:val="both"/>
            </w:pPr>
            <w:r>
              <w:rPr>
                <w:sz w:val="16"/>
              </w:rPr>
              <w:t xml:space="preserve">    4,5     </w:t>
            </w:r>
          </w:p>
        </w:tc>
        <w:tc>
          <w:tcPr>
            <w:tcW w:w="1344" w:type="dxa"/>
            <w:tcBorders>
              <w:top w:val="nil"/>
            </w:tcBorders>
          </w:tcPr>
          <w:p w:rsidR="00A41090" w:rsidRDefault="00A41090">
            <w:pPr>
              <w:pStyle w:val="ConsPlusNonformat"/>
              <w:jc w:val="both"/>
            </w:pPr>
            <w:r>
              <w:rPr>
                <w:sz w:val="16"/>
              </w:rPr>
              <w:t xml:space="preserve">    4,3     </w:t>
            </w:r>
          </w:p>
        </w:tc>
        <w:tc>
          <w:tcPr>
            <w:tcW w:w="1248" w:type="dxa"/>
            <w:tcBorders>
              <w:top w:val="nil"/>
            </w:tcBorders>
          </w:tcPr>
          <w:p w:rsidR="00A41090" w:rsidRDefault="00A41090">
            <w:pPr>
              <w:pStyle w:val="ConsPlusNonformat"/>
              <w:jc w:val="both"/>
            </w:pPr>
            <w:r>
              <w:rPr>
                <w:sz w:val="16"/>
              </w:rPr>
              <w:t xml:space="preserve">    3,9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4,7     </w:t>
            </w:r>
          </w:p>
        </w:tc>
        <w:tc>
          <w:tcPr>
            <w:tcW w:w="1344" w:type="dxa"/>
            <w:tcBorders>
              <w:top w:val="nil"/>
            </w:tcBorders>
          </w:tcPr>
          <w:p w:rsidR="00A41090" w:rsidRDefault="00A41090">
            <w:pPr>
              <w:pStyle w:val="ConsPlusNonformat"/>
              <w:jc w:val="both"/>
            </w:pPr>
            <w:r>
              <w:rPr>
                <w:sz w:val="16"/>
              </w:rPr>
              <w:t xml:space="preserve">    4,5     </w:t>
            </w:r>
          </w:p>
        </w:tc>
        <w:tc>
          <w:tcPr>
            <w:tcW w:w="1248" w:type="dxa"/>
            <w:tcBorders>
              <w:top w:val="nil"/>
            </w:tcBorders>
          </w:tcPr>
          <w:p w:rsidR="00A41090" w:rsidRDefault="00A41090">
            <w:pPr>
              <w:pStyle w:val="ConsPlusNonformat"/>
              <w:jc w:val="both"/>
            </w:pPr>
            <w:r>
              <w:rPr>
                <w:sz w:val="16"/>
              </w:rPr>
              <w:t xml:space="preserve">    4,3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5,0     </w:t>
            </w:r>
          </w:p>
        </w:tc>
        <w:tc>
          <w:tcPr>
            <w:tcW w:w="1344" w:type="dxa"/>
            <w:tcBorders>
              <w:top w:val="nil"/>
            </w:tcBorders>
          </w:tcPr>
          <w:p w:rsidR="00A41090" w:rsidRDefault="00A41090">
            <w:pPr>
              <w:pStyle w:val="ConsPlusNonformat"/>
              <w:jc w:val="both"/>
            </w:pPr>
            <w:r>
              <w:rPr>
                <w:sz w:val="16"/>
              </w:rPr>
              <w:t xml:space="preserve">    4,7     </w:t>
            </w:r>
          </w:p>
        </w:tc>
        <w:tc>
          <w:tcPr>
            <w:tcW w:w="1248" w:type="dxa"/>
            <w:tcBorders>
              <w:top w:val="nil"/>
            </w:tcBorders>
          </w:tcPr>
          <w:p w:rsidR="00A41090" w:rsidRDefault="00A41090">
            <w:pPr>
              <w:pStyle w:val="ConsPlusNonformat"/>
              <w:jc w:val="both"/>
            </w:pPr>
            <w:r>
              <w:rPr>
                <w:sz w:val="16"/>
              </w:rPr>
              <w:t xml:space="preserve">    4,5    </w:t>
            </w:r>
          </w:p>
        </w:tc>
      </w:tr>
      <w:tr w:rsidR="00A41090">
        <w:trPr>
          <w:trHeight w:val="160"/>
        </w:trPr>
        <w:tc>
          <w:tcPr>
            <w:tcW w:w="960" w:type="dxa"/>
            <w:tcBorders>
              <w:top w:val="nil"/>
            </w:tcBorders>
          </w:tcPr>
          <w:p w:rsidR="00A41090" w:rsidRDefault="00A41090">
            <w:pPr>
              <w:pStyle w:val="ConsPlusNonformat"/>
              <w:jc w:val="both"/>
            </w:pPr>
            <w:r>
              <w:rPr>
                <w:sz w:val="16"/>
              </w:rPr>
              <w:t xml:space="preserve">   3    </w:t>
            </w:r>
          </w:p>
        </w:tc>
        <w:tc>
          <w:tcPr>
            <w:tcW w:w="13056" w:type="dxa"/>
            <w:gridSpan w:val="9"/>
            <w:tcBorders>
              <w:top w:val="nil"/>
            </w:tcBorders>
          </w:tcPr>
          <w:p w:rsidR="00A41090" w:rsidRDefault="00A41090">
            <w:pPr>
              <w:pStyle w:val="ConsPlusNonformat"/>
              <w:jc w:val="both"/>
            </w:pPr>
            <w:r>
              <w:rPr>
                <w:sz w:val="16"/>
              </w:rPr>
              <w:t xml:space="preserve">Промышленность                                                                                                                </w:t>
            </w:r>
          </w:p>
        </w:tc>
      </w:tr>
      <w:tr w:rsidR="00A41090">
        <w:trPr>
          <w:trHeight w:val="160"/>
        </w:trPr>
        <w:tc>
          <w:tcPr>
            <w:tcW w:w="960" w:type="dxa"/>
            <w:vMerge w:val="restart"/>
            <w:tcBorders>
              <w:top w:val="nil"/>
            </w:tcBorders>
          </w:tcPr>
          <w:p w:rsidR="00A41090" w:rsidRDefault="00A41090">
            <w:pPr>
              <w:pStyle w:val="ConsPlusNonformat"/>
              <w:jc w:val="both"/>
            </w:pPr>
            <w:r>
              <w:rPr>
                <w:sz w:val="16"/>
              </w:rPr>
              <w:t xml:space="preserve">  3.1   </w:t>
            </w:r>
          </w:p>
        </w:tc>
        <w:tc>
          <w:tcPr>
            <w:tcW w:w="3360" w:type="dxa"/>
            <w:vMerge w:val="restart"/>
            <w:tcBorders>
              <w:top w:val="nil"/>
            </w:tcBorders>
          </w:tcPr>
          <w:p w:rsidR="00A41090" w:rsidRDefault="00A41090">
            <w:pPr>
              <w:pStyle w:val="ConsPlusNonformat"/>
              <w:jc w:val="both"/>
            </w:pPr>
            <w:r>
              <w:rPr>
                <w:sz w:val="16"/>
              </w:rPr>
              <w:t xml:space="preserve">Оборот </w:t>
            </w:r>
            <w:proofErr w:type="gramStart"/>
            <w:r>
              <w:rPr>
                <w:sz w:val="16"/>
              </w:rPr>
              <w:t>крупных</w:t>
            </w:r>
            <w:proofErr w:type="gramEnd"/>
            <w:r>
              <w:rPr>
                <w:sz w:val="16"/>
              </w:rPr>
              <w:t xml:space="preserve"> и средних         </w:t>
            </w:r>
          </w:p>
          <w:p w:rsidR="00A41090" w:rsidRDefault="00A41090">
            <w:pPr>
              <w:pStyle w:val="ConsPlusNonformat"/>
              <w:jc w:val="both"/>
            </w:pPr>
            <w:r>
              <w:rPr>
                <w:sz w:val="16"/>
              </w:rPr>
              <w:t xml:space="preserve">предприятий и организаций        </w:t>
            </w:r>
          </w:p>
        </w:tc>
        <w:tc>
          <w:tcPr>
            <w:tcW w:w="1152" w:type="dxa"/>
            <w:vMerge w:val="restart"/>
            <w:tcBorders>
              <w:top w:val="nil"/>
            </w:tcBorders>
          </w:tcPr>
          <w:p w:rsidR="00A41090" w:rsidRDefault="00A41090">
            <w:pPr>
              <w:pStyle w:val="ConsPlusNonformat"/>
              <w:jc w:val="both"/>
            </w:pPr>
            <w:r>
              <w:rPr>
                <w:sz w:val="16"/>
              </w:rPr>
              <w:t xml:space="preserve"> млн</w:t>
            </w:r>
            <w:proofErr w:type="gramStart"/>
            <w:r>
              <w:rPr>
                <w:sz w:val="16"/>
              </w:rPr>
              <w:t>.р</w:t>
            </w:r>
            <w:proofErr w:type="gramEnd"/>
            <w:r>
              <w:rPr>
                <w:sz w:val="16"/>
              </w:rPr>
              <w:t xml:space="preserve">уб. </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1098917,9 </w:t>
            </w:r>
          </w:p>
        </w:tc>
        <w:tc>
          <w:tcPr>
            <w:tcW w:w="1056" w:type="dxa"/>
            <w:vMerge w:val="restart"/>
            <w:tcBorders>
              <w:top w:val="nil"/>
            </w:tcBorders>
          </w:tcPr>
          <w:p w:rsidR="00A41090" w:rsidRDefault="00A41090">
            <w:pPr>
              <w:pStyle w:val="ConsPlusNonformat"/>
              <w:jc w:val="both"/>
            </w:pPr>
            <w:r>
              <w:rPr>
                <w:sz w:val="16"/>
              </w:rPr>
              <w:t>1028409,2</w:t>
            </w:r>
          </w:p>
        </w:tc>
        <w:tc>
          <w:tcPr>
            <w:tcW w:w="1152" w:type="dxa"/>
            <w:vMerge w:val="restart"/>
            <w:tcBorders>
              <w:top w:val="nil"/>
            </w:tcBorders>
          </w:tcPr>
          <w:p w:rsidR="00A41090" w:rsidRDefault="00A41090">
            <w:pPr>
              <w:pStyle w:val="ConsPlusNonformat"/>
              <w:jc w:val="both"/>
            </w:pPr>
            <w:r>
              <w:rPr>
                <w:sz w:val="16"/>
              </w:rPr>
              <w:t xml:space="preserve">1016400,0 </w:t>
            </w:r>
          </w:p>
        </w:tc>
        <w:tc>
          <w:tcPr>
            <w:tcW w:w="1344" w:type="dxa"/>
            <w:tcBorders>
              <w:top w:val="nil"/>
            </w:tcBorders>
          </w:tcPr>
          <w:p w:rsidR="00A41090" w:rsidRDefault="00A41090">
            <w:pPr>
              <w:pStyle w:val="ConsPlusNonformat"/>
              <w:jc w:val="both"/>
            </w:pPr>
            <w:r>
              <w:rPr>
                <w:sz w:val="16"/>
              </w:rPr>
              <w:t xml:space="preserve"> 1028700,0  </w:t>
            </w:r>
          </w:p>
        </w:tc>
        <w:tc>
          <w:tcPr>
            <w:tcW w:w="1344" w:type="dxa"/>
            <w:tcBorders>
              <w:top w:val="nil"/>
            </w:tcBorders>
          </w:tcPr>
          <w:p w:rsidR="00A41090" w:rsidRDefault="00A41090">
            <w:pPr>
              <w:pStyle w:val="ConsPlusNonformat"/>
              <w:jc w:val="both"/>
            </w:pPr>
            <w:r>
              <w:rPr>
                <w:sz w:val="16"/>
              </w:rPr>
              <w:t xml:space="preserve"> 1053700,0  </w:t>
            </w:r>
          </w:p>
        </w:tc>
        <w:tc>
          <w:tcPr>
            <w:tcW w:w="1248" w:type="dxa"/>
            <w:tcBorders>
              <w:top w:val="nil"/>
            </w:tcBorders>
          </w:tcPr>
          <w:p w:rsidR="00A41090" w:rsidRDefault="00A41090">
            <w:pPr>
              <w:pStyle w:val="ConsPlusNonformat"/>
              <w:jc w:val="both"/>
            </w:pPr>
            <w:r>
              <w:rPr>
                <w:sz w:val="16"/>
              </w:rPr>
              <w:t xml:space="preserve"> 1087850,0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1023450,0  </w:t>
            </w:r>
          </w:p>
        </w:tc>
        <w:tc>
          <w:tcPr>
            <w:tcW w:w="1344" w:type="dxa"/>
            <w:tcBorders>
              <w:top w:val="nil"/>
            </w:tcBorders>
          </w:tcPr>
          <w:p w:rsidR="00A41090" w:rsidRDefault="00A41090">
            <w:pPr>
              <w:pStyle w:val="ConsPlusNonformat"/>
              <w:jc w:val="both"/>
            </w:pPr>
            <w:r>
              <w:rPr>
                <w:sz w:val="16"/>
              </w:rPr>
              <w:t xml:space="preserve"> 1036400,0  </w:t>
            </w:r>
          </w:p>
        </w:tc>
        <w:tc>
          <w:tcPr>
            <w:tcW w:w="1248" w:type="dxa"/>
            <w:tcBorders>
              <w:top w:val="nil"/>
            </w:tcBorders>
          </w:tcPr>
          <w:p w:rsidR="00A41090" w:rsidRDefault="00A41090">
            <w:pPr>
              <w:pStyle w:val="ConsPlusNonformat"/>
              <w:jc w:val="both"/>
            </w:pPr>
            <w:r>
              <w:rPr>
                <w:sz w:val="16"/>
              </w:rPr>
              <w:t xml:space="preserve"> 1057450,0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1011500,0  </w:t>
            </w:r>
          </w:p>
        </w:tc>
        <w:tc>
          <w:tcPr>
            <w:tcW w:w="1344" w:type="dxa"/>
            <w:tcBorders>
              <w:top w:val="nil"/>
            </w:tcBorders>
          </w:tcPr>
          <w:p w:rsidR="00A41090" w:rsidRDefault="00A41090">
            <w:pPr>
              <w:pStyle w:val="ConsPlusNonformat"/>
              <w:jc w:val="both"/>
            </w:pPr>
            <w:r>
              <w:rPr>
                <w:sz w:val="16"/>
              </w:rPr>
              <w:t xml:space="preserve"> 1019450,0  </w:t>
            </w:r>
          </w:p>
        </w:tc>
        <w:tc>
          <w:tcPr>
            <w:tcW w:w="1248" w:type="dxa"/>
            <w:tcBorders>
              <w:top w:val="nil"/>
            </w:tcBorders>
          </w:tcPr>
          <w:p w:rsidR="00A41090" w:rsidRDefault="00A41090">
            <w:pPr>
              <w:pStyle w:val="ConsPlusNonformat"/>
              <w:jc w:val="both"/>
            </w:pPr>
            <w:r>
              <w:rPr>
                <w:sz w:val="16"/>
              </w:rPr>
              <w:t xml:space="preserve"> 1036450,0 </w:t>
            </w:r>
          </w:p>
        </w:tc>
      </w:tr>
      <w:tr w:rsidR="00A41090">
        <w:trPr>
          <w:trHeight w:val="160"/>
        </w:trPr>
        <w:tc>
          <w:tcPr>
            <w:tcW w:w="960" w:type="dxa"/>
            <w:vMerge w:val="restart"/>
            <w:tcBorders>
              <w:top w:val="nil"/>
            </w:tcBorders>
          </w:tcPr>
          <w:p w:rsidR="00A41090" w:rsidRDefault="00A41090">
            <w:pPr>
              <w:pStyle w:val="ConsPlusNonformat"/>
              <w:jc w:val="both"/>
            </w:pPr>
            <w:r>
              <w:rPr>
                <w:sz w:val="16"/>
              </w:rPr>
              <w:t xml:space="preserve">  3.2   </w:t>
            </w:r>
          </w:p>
        </w:tc>
        <w:tc>
          <w:tcPr>
            <w:tcW w:w="3360" w:type="dxa"/>
            <w:vMerge w:val="restart"/>
            <w:tcBorders>
              <w:top w:val="nil"/>
            </w:tcBorders>
          </w:tcPr>
          <w:p w:rsidR="00A41090" w:rsidRDefault="00A41090">
            <w:pPr>
              <w:pStyle w:val="ConsPlusNonformat"/>
              <w:jc w:val="both"/>
            </w:pPr>
            <w:r>
              <w:rPr>
                <w:sz w:val="16"/>
              </w:rPr>
              <w:t xml:space="preserve">Объем отгруженной продукции      </w:t>
            </w:r>
          </w:p>
          <w:p w:rsidR="00A41090" w:rsidRDefault="00A41090">
            <w:pPr>
              <w:pStyle w:val="ConsPlusNonformat"/>
              <w:jc w:val="both"/>
            </w:pPr>
            <w:r>
              <w:rPr>
                <w:sz w:val="16"/>
              </w:rPr>
              <w:t xml:space="preserve">собственного производства,       </w:t>
            </w:r>
          </w:p>
          <w:p w:rsidR="00A41090" w:rsidRDefault="00A41090">
            <w:pPr>
              <w:pStyle w:val="ConsPlusNonformat"/>
              <w:jc w:val="both"/>
            </w:pPr>
            <w:r>
              <w:rPr>
                <w:sz w:val="16"/>
              </w:rPr>
              <w:t xml:space="preserve">выполненных работ и услуг        </w:t>
            </w:r>
          </w:p>
        </w:tc>
        <w:tc>
          <w:tcPr>
            <w:tcW w:w="1152" w:type="dxa"/>
            <w:vMerge w:val="restart"/>
            <w:tcBorders>
              <w:top w:val="nil"/>
            </w:tcBorders>
          </w:tcPr>
          <w:p w:rsidR="00A41090" w:rsidRDefault="00A41090">
            <w:pPr>
              <w:pStyle w:val="ConsPlusNonformat"/>
              <w:jc w:val="both"/>
            </w:pPr>
            <w:r>
              <w:rPr>
                <w:sz w:val="16"/>
              </w:rPr>
              <w:t xml:space="preserve"> млн</w:t>
            </w:r>
            <w:proofErr w:type="gramStart"/>
            <w:r>
              <w:rPr>
                <w:sz w:val="16"/>
              </w:rPr>
              <w:t>.р</w:t>
            </w:r>
            <w:proofErr w:type="gramEnd"/>
            <w:r>
              <w:rPr>
                <w:sz w:val="16"/>
              </w:rPr>
              <w:t xml:space="preserve">уб. </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 734826,5 </w:t>
            </w:r>
          </w:p>
        </w:tc>
        <w:tc>
          <w:tcPr>
            <w:tcW w:w="1056" w:type="dxa"/>
            <w:vMerge w:val="restart"/>
            <w:tcBorders>
              <w:top w:val="nil"/>
            </w:tcBorders>
          </w:tcPr>
          <w:p w:rsidR="00A41090" w:rsidRDefault="00A41090">
            <w:pPr>
              <w:pStyle w:val="ConsPlusNonformat"/>
              <w:jc w:val="both"/>
            </w:pPr>
            <w:r>
              <w:rPr>
                <w:sz w:val="16"/>
              </w:rPr>
              <w:t xml:space="preserve">710127,3 </w:t>
            </w:r>
          </w:p>
        </w:tc>
        <w:tc>
          <w:tcPr>
            <w:tcW w:w="1152" w:type="dxa"/>
            <w:vMerge w:val="restart"/>
            <w:tcBorders>
              <w:top w:val="nil"/>
            </w:tcBorders>
          </w:tcPr>
          <w:p w:rsidR="00A41090" w:rsidRDefault="00A41090">
            <w:pPr>
              <w:pStyle w:val="ConsPlusNonformat"/>
              <w:jc w:val="both"/>
            </w:pPr>
            <w:r>
              <w:rPr>
                <w:sz w:val="16"/>
              </w:rPr>
              <w:t xml:space="preserve"> 715250,0 </w:t>
            </w:r>
          </w:p>
        </w:tc>
        <w:tc>
          <w:tcPr>
            <w:tcW w:w="1344" w:type="dxa"/>
            <w:tcBorders>
              <w:top w:val="nil"/>
            </w:tcBorders>
          </w:tcPr>
          <w:p w:rsidR="00A41090" w:rsidRDefault="00A41090">
            <w:pPr>
              <w:pStyle w:val="ConsPlusNonformat"/>
              <w:jc w:val="both"/>
            </w:pPr>
            <w:r>
              <w:rPr>
                <w:sz w:val="16"/>
              </w:rPr>
              <w:t xml:space="preserve">  726850,0  </w:t>
            </w:r>
          </w:p>
        </w:tc>
        <w:tc>
          <w:tcPr>
            <w:tcW w:w="1344" w:type="dxa"/>
            <w:tcBorders>
              <w:top w:val="nil"/>
            </w:tcBorders>
          </w:tcPr>
          <w:p w:rsidR="00A41090" w:rsidRDefault="00A41090">
            <w:pPr>
              <w:pStyle w:val="ConsPlusNonformat"/>
              <w:jc w:val="both"/>
            </w:pPr>
            <w:r>
              <w:rPr>
                <w:sz w:val="16"/>
              </w:rPr>
              <w:t xml:space="preserve">  743850,0  </w:t>
            </w:r>
          </w:p>
        </w:tc>
        <w:tc>
          <w:tcPr>
            <w:tcW w:w="1248" w:type="dxa"/>
            <w:tcBorders>
              <w:top w:val="nil"/>
            </w:tcBorders>
          </w:tcPr>
          <w:p w:rsidR="00A41090" w:rsidRDefault="00A41090">
            <w:pPr>
              <w:pStyle w:val="ConsPlusNonformat"/>
              <w:jc w:val="both"/>
            </w:pPr>
            <w:r>
              <w:rPr>
                <w:sz w:val="16"/>
              </w:rPr>
              <w:t xml:space="preserve"> 763850,0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723050,0  </w:t>
            </w:r>
          </w:p>
        </w:tc>
        <w:tc>
          <w:tcPr>
            <w:tcW w:w="1344" w:type="dxa"/>
            <w:tcBorders>
              <w:top w:val="nil"/>
            </w:tcBorders>
          </w:tcPr>
          <w:p w:rsidR="00A41090" w:rsidRDefault="00A41090">
            <w:pPr>
              <w:pStyle w:val="ConsPlusNonformat"/>
              <w:jc w:val="both"/>
            </w:pPr>
            <w:r>
              <w:rPr>
                <w:sz w:val="16"/>
              </w:rPr>
              <w:t xml:space="preserve">  733200,0  </w:t>
            </w:r>
          </w:p>
        </w:tc>
        <w:tc>
          <w:tcPr>
            <w:tcW w:w="1248" w:type="dxa"/>
            <w:tcBorders>
              <w:top w:val="nil"/>
            </w:tcBorders>
          </w:tcPr>
          <w:p w:rsidR="00A41090" w:rsidRDefault="00A41090">
            <w:pPr>
              <w:pStyle w:val="ConsPlusNonformat"/>
              <w:jc w:val="both"/>
            </w:pPr>
            <w:r>
              <w:rPr>
                <w:sz w:val="16"/>
              </w:rPr>
              <w:t xml:space="preserve"> 745500,0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717500,0  </w:t>
            </w:r>
          </w:p>
        </w:tc>
        <w:tc>
          <w:tcPr>
            <w:tcW w:w="1344" w:type="dxa"/>
            <w:tcBorders>
              <w:top w:val="nil"/>
            </w:tcBorders>
          </w:tcPr>
          <w:p w:rsidR="00A41090" w:rsidRDefault="00A41090">
            <w:pPr>
              <w:pStyle w:val="ConsPlusNonformat"/>
              <w:jc w:val="both"/>
            </w:pPr>
            <w:r>
              <w:rPr>
                <w:sz w:val="16"/>
              </w:rPr>
              <w:t xml:space="preserve">  722450,0  </w:t>
            </w:r>
          </w:p>
        </w:tc>
        <w:tc>
          <w:tcPr>
            <w:tcW w:w="1248" w:type="dxa"/>
            <w:tcBorders>
              <w:top w:val="nil"/>
            </w:tcBorders>
          </w:tcPr>
          <w:p w:rsidR="00A41090" w:rsidRDefault="00A41090">
            <w:pPr>
              <w:pStyle w:val="ConsPlusNonformat"/>
              <w:jc w:val="both"/>
            </w:pPr>
            <w:r>
              <w:rPr>
                <w:sz w:val="16"/>
              </w:rPr>
              <w:t xml:space="preserve"> 730050,0  </w:t>
            </w:r>
          </w:p>
        </w:tc>
      </w:tr>
      <w:tr w:rsidR="00A41090">
        <w:trPr>
          <w:trHeight w:val="160"/>
        </w:trPr>
        <w:tc>
          <w:tcPr>
            <w:tcW w:w="960" w:type="dxa"/>
            <w:vMerge w:val="restart"/>
            <w:tcBorders>
              <w:top w:val="nil"/>
            </w:tcBorders>
          </w:tcPr>
          <w:p w:rsidR="00A41090" w:rsidRDefault="00A41090">
            <w:pPr>
              <w:pStyle w:val="ConsPlusNonformat"/>
              <w:jc w:val="both"/>
            </w:pPr>
            <w:r>
              <w:rPr>
                <w:sz w:val="16"/>
              </w:rPr>
              <w:t xml:space="preserve">  3.3   </w:t>
            </w:r>
          </w:p>
        </w:tc>
        <w:tc>
          <w:tcPr>
            <w:tcW w:w="3360" w:type="dxa"/>
            <w:vMerge w:val="restart"/>
            <w:tcBorders>
              <w:top w:val="nil"/>
            </w:tcBorders>
          </w:tcPr>
          <w:p w:rsidR="00A41090" w:rsidRDefault="00A41090">
            <w:pPr>
              <w:pStyle w:val="ConsPlusNonformat"/>
              <w:jc w:val="both"/>
            </w:pPr>
            <w:r>
              <w:rPr>
                <w:sz w:val="16"/>
              </w:rPr>
              <w:t xml:space="preserve">Индекс роста </w:t>
            </w:r>
            <w:proofErr w:type="gramStart"/>
            <w:r>
              <w:rPr>
                <w:sz w:val="16"/>
              </w:rPr>
              <w:t>основных</w:t>
            </w:r>
            <w:proofErr w:type="gramEnd"/>
            <w:r>
              <w:rPr>
                <w:sz w:val="16"/>
              </w:rPr>
              <w:t xml:space="preserve">            </w:t>
            </w:r>
          </w:p>
          <w:p w:rsidR="00A41090" w:rsidRDefault="00A41090">
            <w:pPr>
              <w:pStyle w:val="ConsPlusNonformat"/>
              <w:jc w:val="both"/>
            </w:pPr>
            <w:r>
              <w:rPr>
                <w:sz w:val="16"/>
              </w:rPr>
              <w:t xml:space="preserve">производственных фондов          </w:t>
            </w:r>
          </w:p>
        </w:tc>
        <w:tc>
          <w:tcPr>
            <w:tcW w:w="1152" w:type="dxa"/>
            <w:vMerge w:val="restart"/>
            <w:tcBorders>
              <w:top w:val="nil"/>
            </w:tcBorders>
          </w:tcPr>
          <w:p w:rsidR="00A41090" w:rsidRDefault="00A41090">
            <w:pPr>
              <w:pStyle w:val="ConsPlusNonformat"/>
              <w:jc w:val="both"/>
            </w:pPr>
            <w:r>
              <w:rPr>
                <w:sz w:val="16"/>
              </w:rPr>
              <w:t xml:space="preserve">    %     </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  112,1%  </w:t>
            </w:r>
          </w:p>
        </w:tc>
        <w:tc>
          <w:tcPr>
            <w:tcW w:w="1056" w:type="dxa"/>
            <w:vMerge w:val="restart"/>
            <w:tcBorders>
              <w:top w:val="nil"/>
            </w:tcBorders>
          </w:tcPr>
          <w:p w:rsidR="00A41090" w:rsidRDefault="00A41090">
            <w:pPr>
              <w:pStyle w:val="ConsPlusNonformat"/>
              <w:jc w:val="both"/>
            </w:pPr>
            <w:r>
              <w:rPr>
                <w:sz w:val="16"/>
              </w:rPr>
              <w:t xml:space="preserve"> 116,3%  </w:t>
            </w:r>
          </w:p>
        </w:tc>
        <w:tc>
          <w:tcPr>
            <w:tcW w:w="1152" w:type="dxa"/>
            <w:vMerge w:val="restart"/>
            <w:tcBorders>
              <w:top w:val="nil"/>
            </w:tcBorders>
          </w:tcPr>
          <w:p w:rsidR="00A41090" w:rsidRDefault="00A41090">
            <w:pPr>
              <w:pStyle w:val="ConsPlusNonformat"/>
              <w:jc w:val="both"/>
            </w:pPr>
            <w:r>
              <w:rPr>
                <w:sz w:val="16"/>
              </w:rPr>
              <w:t xml:space="preserve">  116,0%  </w:t>
            </w:r>
          </w:p>
        </w:tc>
        <w:tc>
          <w:tcPr>
            <w:tcW w:w="1344" w:type="dxa"/>
            <w:tcBorders>
              <w:top w:val="nil"/>
            </w:tcBorders>
          </w:tcPr>
          <w:p w:rsidR="00A41090" w:rsidRDefault="00A41090">
            <w:pPr>
              <w:pStyle w:val="ConsPlusNonformat"/>
              <w:jc w:val="both"/>
            </w:pPr>
            <w:r>
              <w:rPr>
                <w:sz w:val="16"/>
              </w:rPr>
              <w:t xml:space="preserve">   117,3%   </w:t>
            </w:r>
          </w:p>
        </w:tc>
        <w:tc>
          <w:tcPr>
            <w:tcW w:w="1344" w:type="dxa"/>
            <w:tcBorders>
              <w:top w:val="nil"/>
            </w:tcBorders>
          </w:tcPr>
          <w:p w:rsidR="00A41090" w:rsidRDefault="00A41090">
            <w:pPr>
              <w:pStyle w:val="ConsPlusNonformat"/>
              <w:jc w:val="both"/>
            </w:pPr>
            <w:r>
              <w:rPr>
                <w:sz w:val="16"/>
              </w:rPr>
              <w:t xml:space="preserve">   118,9%   </w:t>
            </w:r>
          </w:p>
        </w:tc>
        <w:tc>
          <w:tcPr>
            <w:tcW w:w="1248" w:type="dxa"/>
            <w:tcBorders>
              <w:top w:val="nil"/>
            </w:tcBorders>
          </w:tcPr>
          <w:p w:rsidR="00A41090" w:rsidRDefault="00A41090">
            <w:pPr>
              <w:pStyle w:val="ConsPlusNonformat"/>
              <w:jc w:val="both"/>
            </w:pPr>
            <w:r>
              <w:rPr>
                <w:sz w:val="16"/>
              </w:rPr>
              <w:t xml:space="preserve">  120,1%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116,2%   </w:t>
            </w:r>
          </w:p>
        </w:tc>
        <w:tc>
          <w:tcPr>
            <w:tcW w:w="1344" w:type="dxa"/>
            <w:tcBorders>
              <w:top w:val="nil"/>
            </w:tcBorders>
          </w:tcPr>
          <w:p w:rsidR="00A41090" w:rsidRDefault="00A41090">
            <w:pPr>
              <w:pStyle w:val="ConsPlusNonformat"/>
              <w:jc w:val="both"/>
            </w:pPr>
            <w:r>
              <w:rPr>
                <w:sz w:val="16"/>
              </w:rPr>
              <w:t xml:space="preserve">   117,2%   </w:t>
            </w:r>
          </w:p>
        </w:tc>
        <w:tc>
          <w:tcPr>
            <w:tcW w:w="1248" w:type="dxa"/>
            <w:tcBorders>
              <w:top w:val="nil"/>
            </w:tcBorders>
          </w:tcPr>
          <w:p w:rsidR="00A41090" w:rsidRDefault="00A41090">
            <w:pPr>
              <w:pStyle w:val="ConsPlusNonformat"/>
              <w:jc w:val="both"/>
            </w:pPr>
            <w:r>
              <w:rPr>
                <w:sz w:val="16"/>
              </w:rPr>
              <w:t xml:space="preserve">  118,4%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115,1%   </w:t>
            </w:r>
          </w:p>
        </w:tc>
        <w:tc>
          <w:tcPr>
            <w:tcW w:w="1344" w:type="dxa"/>
            <w:tcBorders>
              <w:top w:val="nil"/>
            </w:tcBorders>
          </w:tcPr>
          <w:p w:rsidR="00A41090" w:rsidRDefault="00A41090">
            <w:pPr>
              <w:pStyle w:val="ConsPlusNonformat"/>
              <w:jc w:val="both"/>
            </w:pPr>
            <w:r>
              <w:rPr>
                <w:sz w:val="16"/>
              </w:rPr>
              <w:t xml:space="preserve">   116,1%   </w:t>
            </w:r>
          </w:p>
        </w:tc>
        <w:tc>
          <w:tcPr>
            <w:tcW w:w="1248" w:type="dxa"/>
            <w:tcBorders>
              <w:top w:val="nil"/>
            </w:tcBorders>
          </w:tcPr>
          <w:p w:rsidR="00A41090" w:rsidRDefault="00A41090">
            <w:pPr>
              <w:pStyle w:val="ConsPlusNonformat"/>
              <w:jc w:val="both"/>
            </w:pPr>
            <w:r>
              <w:rPr>
                <w:sz w:val="16"/>
              </w:rPr>
              <w:t xml:space="preserve">  116,9%   </w:t>
            </w:r>
          </w:p>
        </w:tc>
      </w:tr>
      <w:tr w:rsidR="00A41090">
        <w:trPr>
          <w:trHeight w:val="160"/>
        </w:trPr>
        <w:tc>
          <w:tcPr>
            <w:tcW w:w="960" w:type="dxa"/>
            <w:tcBorders>
              <w:top w:val="nil"/>
            </w:tcBorders>
          </w:tcPr>
          <w:p w:rsidR="00A41090" w:rsidRDefault="00A41090">
            <w:pPr>
              <w:pStyle w:val="ConsPlusNonformat"/>
              <w:jc w:val="both"/>
            </w:pPr>
            <w:r>
              <w:rPr>
                <w:sz w:val="16"/>
              </w:rPr>
              <w:t xml:space="preserve">   4    </w:t>
            </w:r>
          </w:p>
        </w:tc>
        <w:tc>
          <w:tcPr>
            <w:tcW w:w="13056" w:type="dxa"/>
            <w:gridSpan w:val="9"/>
            <w:tcBorders>
              <w:top w:val="nil"/>
            </w:tcBorders>
          </w:tcPr>
          <w:p w:rsidR="00A41090" w:rsidRDefault="00A41090">
            <w:pPr>
              <w:pStyle w:val="ConsPlusNonformat"/>
              <w:jc w:val="both"/>
            </w:pPr>
            <w:r>
              <w:rPr>
                <w:sz w:val="16"/>
              </w:rPr>
              <w:t xml:space="preserve">Потребительский рынок                                                                                                         </w:t>
            </w:r>
          </w:p>
        </w:tc>
      </w:tr>
      <w:tr w:rsidR="00A41090">
        <w:trPr>
          <w:trHeight w:val="160"/>
        </w:trPr>
        <w:tc>
          <w:tcPr>
            <w:tcW w:w="960" w:type="dxa"/>
            <w:vMerge w:val="restart"/>
            <w:tcBorders>
              <w:top w:val="nil"/>
            </w:tcBorders>
          </w:tcPr>
          <w:p w:rsidR="00A41090" w:rsidRDefault="00A41090">
            <w:pPr>
              <w:pStyle w:val="ConsPlusNonformat"/>
              <w:jc w:val="both"/>
            </w:pPr>
            <w:r>
              <w:rPr>
                <w:sz w:val="16"/>
              </w:rPr>
              <w:t xml:space="preserve">  4.1   </w:t>
            </w:r>
          </w:p>
        </w:tc>
        <w:tc>
          <w:tcPr>
            <w:tcW w:w="3360" w:type="dxa"/>
            <w:vMerge w:val="restart"/>
            <w:tcBorders>
              <w:top w:val="nil"/>
            </w:tcBorders>
          </w:tcPr>
          <w:p w:rsidR="00A41090" w:rsidRDefault="00A41090">
            <w:pPr>
              <w:pStyle w:val="ConsPlusNonformat"/>
              <w:jc w:val="both"/>
            </w:pPr>
            <w:r>
              <w:rPr>
                <w:sz w:val="16"/>
              </w:rPr>
              <w:t xml:space="preserve">Оборот розничной торговли        </w:t>
            </w:r>
          </w:p>
        </w:tc>
        <w:tc>
          <w:tcPr>
            <w:tcW w:w="1152" w:type="dxa"/>
            <w:vMerge w:val="restart"/>
            <w:tcBorders>
              <w:top w:val="nil"/>
            </w:tcBorders>
          </w:tcPr>
          <w:p w:rsidR="00A41090" w:rsidRDefault="00A41090">
            <w:pPr>
              <w:pStyle w:val="ConsPlusNonformat"/>
              <w:jc w:val="both"/>
            </w:pPr>
            <w:r>
              <w:rPr>
                <w:sz w:val="16"/>
              </w:rPr>
              <w:t xml:space="preserve"> млн</w:t>
            </w:r>
            <w:proofErr w:type="gramStart"/>
            <w:r>
              <w:rPr>
                <w:sz w:val="16"/>
              </w:rPr>
              <w:t>.р</w:t>
            </w:r>
            <w:proofErr w:type="gramEnd"/>
            <w:r>
              <w:rPr>
                <w:sz w:val="16"/>
              </w:rPr>
              <w:t xml:space="preserve">уб. </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 327347,6 </w:t>
            </w:r>
          </w:p>
        </w:tc>
        <w:tc>
          <w:tcPr>
            <w:tcW w:w="1056" w:type="dxa"/>
            <w:vMerge w:val="restart"/>
            <w:tcBorders>
              <w:top w:val="nil"/>
            </w:tcBorders>
          </w:tcPr>
          <w:p w:rsidR="00A41090" w:rsidRDefault="00A41090">
            <w:pPr>
              <w:pStyle w:val="ConsPlusNonformat"/>
              <w:jc w:val="both"/>
            </w:pPr>
            <w:r>
              <w:rPr>
                <w:sz w:val="16"/>
              </w:rPr>
              <w:t xml:space="preserve">324175,8 </w:t>
            </w:r>
          </w:p>
        </w:tc>
        <w:tc>
          <w:tcPr>
            <w:tcW w:w="1152" w:type="dxa"/>
            <w:vMerge w:val="restart"/>
            <w:tcBorders>
              <w:top w:val="nil"/>
            </w:tcBorders>
          </w:tcPr>
          <w:p w:rsidR="00A41090" w:rsidRDefault="00A41090">
            <w:pPr>
              <w:pStyle w:val="ConsPlusNonformat"/>
              <w:jc w:val="both"/>
            </w:pPr>
            <w:r>
              <w:rPr>
                <w:sz w:val="16"/>
              </w:rPr>
              <w:t xml:space="preserve"> 326000,0 </w:t>
            </w:r>
          </w:p>
        </w:tc>
        <w:tc>
          <w:tcPr>
            <w:tcW w:w="1344" w:type="dxa"/>
            <w:tcBorders>
              <w:top w:val="nil"/>
            </w:tcBorders>
          </w:tcPr>
          <w:p w:rsidR="00A41090" w:rsidRDefault="00A41090">
            <w:pPr>
              <w:pStyle w:val="ConsPlusNonformat"/>
              <w:jc w:val="both"/>
            </w:pPr>
            <w:r>
              <w:rPr>
                <w:sz w:val="16"/>
              </w:rPr>
              <w:t xml:space="preserve">  335450,0  </w:t>
            </w:r>
          </w:p>
        </w:tc>
        <w:tc>
          <w:tcPr>
            <w:tcW w:w="1344" w:type="dxa"/>
            <w:tcBorders>
              <w:top w:val="nil"/>
            </w:tcBorders>
          </w:tcPr>
          <w:p w:rsidR="00A41090" w:rsidRDefault="00A41090">
            <w:pPr>
              <w:pStyle w:val="ConsPlusNonformat"/>
              <w:jc w:val="both"/>
            </w:pPr>
            <w:r>
              <w:rPr>
                <w:sz w:val="16"/>
              </w:rPr>
              <w:t xml:space="preserve">  356050,0  </w:t>
            </w:r>
          </w:p>
        </w:tc>
        <w:tc>
          <w:tcPr>
            <w:tcW w:w="1248" w:type="dxa"/>
            <w:tcBorders>
              <w:top w:val="nil"/>
            </w:tcBorders>
          </w:tcPr>
          <w:p w:rsidR="00A41090" w:rsidRDefault="00A41090">
            <w:pPr>
              <w:pStyle w:val="ConsPlusNonformat"/>
              <w:jc w:val="both"/>
            </w:pPr>
            <w:r>
              <w:rPr>
                <w:sz w:val="16"/>
              </w:rPr>
              <w:t xml:space="preserve"> 380850,0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333050,0  </w:t>
            </w:r>
          </w:p>
        </w:tc>
        <w:tc>
          <w:tcPr>
            <w:tcW w:w="1344" w:type="dxa"/>
            <w:tcBorders>
              <w:top w:val="nil"/>
            </w:tcBorders>
          </w:tcPr>
          <w:p w:rsidR="00A41090" w:rsidRDefault="00A41090">
            <w:pPr>
              <w:pStyle w:val="ConsPlusNonformat"/>
              <w:jc w:val="both"/>
            </w:pPr>
            <w:r>
              <w:rPr>
                <w:sz w:val="16"/>
              </w:rPr>
              <w:t xml:space="preserve">  349350,0  </w:t>
            </w:r>
          </w:p>
        </w:tc>
        <w:tc>
          <w:tcPr>
            <w:tcW w:w="1248" w:type="dxa"/>
            <w:tcBorders>
              <w:top w:val="nil"/>
            </w:tcBorders>
          </w:tcPr>
          <w:p w:rsidR="00A41090" w:rsidRDefault="00A41090">
            <w:pPr>
              <w:pStyle w:val="ConsPlusNonformat"/>
              <w:jc w:val="both"/>
            </w:pPr>
            <w:r>
              <w:rPr>
                <w:sz w:val="16"/>
              </w:rPr>
              <w:t xml:space="preserve"> 369600,0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331250,0  </w:t>
            </w:r>
          </w:p>
        </w:tc>
        <w:tc>
          <w:tcPr>
            <w:tcW w:w="1344" w:type="dxa"/>
            <w:tcBorders>
              <w:top w:val="nil"/>
            </w:tcBorders>
          </w:tcPr>
          <w:p w:rsidR="00A41090" w:rsidRDefault="00A41090">
            <w:pPr>
              <w:pStyle w:val="ConsPlusNonformat"/>
              <w:jc w:val="both"/>
            </w:pPr>
            <w:r>
              <w:rPr>
                <w:sz w:val="16"/>
              </w:rPr>
              <w:t xml:space="preserve">  341450,0  </w:t>
            </w:r>
          </w:p>
        </w:tc>
        <w:tc>
          <w:tcPr>
            <w:tcW w:w="1248" w:type="dxa"/>
            <w:tcBorders>
              <w:top w:val="nil"/>
            </w:tcBorders>
          </w:tcPr>
          <w:p w:rsidR="00A41090" w:rsidRDefault="00A41090">
            <w:pPr>
              <w:pStyle w:val="ConsPlusNonformat"/>
              <w:jc w:val="both"/>
            </w:pPr>
            <w:r>
              <w:rPr>
                <w:sz w:val="16"/>
              </w:rPr>
              <w:t xml:space="preserve"> 356650,0  </w:t>
            </w:r>
          </w:p>
        </w:tc>
      </w:tr>
      <w:tr w:rsidR="00A41090">
        <w:trPr>
          <w:trHeight w:val="160"/>
        </w:trPr>
        <w:tc>
          <w:tcPr>
            <w:tcW w:w="960" w:type="dxa"/>
            <w:vMerge w:val="restart"/>
            <w:tcBorders>
              <w:top w:val="nil"/>
            </w:tcBorders>
          </w:tcPr>
          <w:p w:rsidR="00A41090" w:rsidRDefault="00A41090">
            <w:pPr>
              <w:pStyle w:val="ConsPlusNonformat"/>
              <w:jc w:val="both"/>
            </w:pPr>
            <w:r>
              <w:rPr>
                <w:sz w:val="16"/>
              </w:rPr>
              <w:t xml:space="preserve">  4.2   </w:t>
            </w:r>
          </w:p>
        </w:tc>
        <w:tc>
          <w:tcPr>
            <w:tcW w:w="3360" w:type="dxa"/>
            <w:vMerge w:val="restart"/>
            <w:tcBorders>
              <w:top w:val="nil"/>
            </w:tcBorders>
          </w:tcPr>
          <w:p w:rsidR="00A41090" w:rsidRDefault="00A41090">
            <w:pPr>
              <w:pStyle w:val="ConsPlusNonformat"/>
              <w:jc w:val="both"/>
            </w:pPr>
            <w:r>
              <w:rPr>
                <w:sz w:val="16"/>
              </w:rPr>
              <w:t xml:space="preserve">Оборот общественного питания     </w:t>
            </w:r>
          </w:p>
        </w:tc>
        <w:tc>
          <w:tcPr>
            <w:tcW w:w="1152" w:type="dxa"/>
            <w:vMerge w:val="restart"/>
            <w:tcBorders>
              <w:top w:val="nil"/>
            </w:tcBorders>
          </w:tcPr>
          <w:p w:rsidR="00A41090" w:rsidRDefault="00A41090">
            <w:pPr>
              <w:pStyle w:val="ConsPlusNonformat"/>
              <w:jc w:val="both"/>
            </w:pPr>
            <w:r>
              <w:rPr>
                <w:sz w:val="16"/>
              </w:rPr>
              <w:t xml:space="preserve"> млн</w:t>
            </w:r>
            <w:proofErr w:type="gramStart"/>
            <w:r>
              <w:rPr>
                <w:sz w:val="16"/>
              </w:rPr>
              <w:t>.р</w:t>
            </w:r>
            <w:proofErr w:type="gramEnd"/>
            <w:r>
              <w:rPr>
                <w:sz w:val="16"/>
              </w:rPr>
              <w:t xml:space="preserve">уб. </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 18687,6  </w:t>
            </w:r>
          </w:p>
        </w:tc>
        <w:tc>
          <w:tcPr>
            <w:tcW w:w="1056" w:type="dxa"/>
            <w:vMerge w:val="restart"/>
            <w:tcBorders>
              <w:top w:val="nil"/>
            </w:tcBorders>
          </w:tcPr>
          <w:p w:rsidR="00A41090" w:rsidRDefault="00A41090">
            <w:pPr>
              <w:pStyle w:val="ConsPlusNonformat"/>
              <w:jc w:val="both"/>
            </w:pPr>
            <w:r>
              <w:rPr>
                <w:sz w:val="16"/>
              </w:rPr>
              <w:t xml:space="preserve"> 17327,9 </w:t>
            </w:r>
          </w:p>
        </w:tc>
        <w:tc>
          <w:tcPr>
            <w:tcW w:w="1152" w:type="dxa"/>
            <w:vMerge w:val="restart"/>
            <w:tcBorders>
              <w:top w:val="nil"/>
            </w:tcBorders>
          </w:tcPr>
          <w:p w:rsidR="00A41090" w:rsidRDefault="00A41090">
            <w:pPr>
              <w:pStyle w:val="ConsPlusNonformat"/>
              <w:jc w:val="both"/>
            </w:pPr>
            <w:r>
              <w:rPr>
                <w:sz w:val="16"/>
              </w:rPr>
              <w:t xml:space="preserve"> 17500,0  </w:t>
            </w:r>
          </w:p>
        </w:tc>
        <w:tc>
          <w:tcPr>
            <w:tcW w:w="1344" w:type="dxa"/>
            <w:tcBorders>
              <w:top w:val="nil"/>
            </w:tcBorders>
          </w:tcPr>
          <w:p w:rsidR="00A41090" w:rsidRDefault="00A41090">
            <w:pPr>
              <w:pStyle w:val="ConsPlusNonformat"/>
              <w:jc w:val="both"/>
            </w:pPr>
            <w:r>
              <w:rPr>
                <w:sz w:val="16"/>
              </w:rPr>
              <w:t xml:space="preserve">  18450,0   </w:t>
            </w:r>
          </w:p>
        </w:tc>
        <w:tc>
          <w:tcPr>
            <w:tcW w:w="1344" w:type="dxa"/>
            <w:tcBorders>
              <w:top w:val="nil"/>
            </w:tcBorders>
          </w:tcPr>
          <w:p w:rsidR="00A41090" w:rsidRDefault="00A41090">
            <w:pPr>
              <w:pStyle w:val="ConsPlusNonformat"/>
              <w:jc w:val="both"/>
            </w:pPr>
            <w:r>
              <w:rPr>
                <w:sz w:val="16"/>
              </w:rPr>
              <w:t xml:space="preserve">  19350,0   </w:t>
            </w:r>
          </w:p>
        </w:tc>
        <w:tc>
          <w:tcPr>
            <w:tcW w:w="1248" w:type="dxa"/>
            <w:tcBorders>
              <w:top w:val="nil"/>
            </w:tcBorders>
          </w:tcPr>
          <w:p w:rsidR="00A41090" w:rsidRDefault="00A41090">
            <w:pPr>
              <w:pStyle w:val="ConsPlusNonformat"/>
              <w:jc w:val="both"/>
            </w:pPr>
            <w:r>
              <w:rPr>
                <w:sz w:val="16"/>
              </w:rPr>
              <w:t xml:space="preserve">  20600,0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18000,0   </w:t>
            </w:r>
          </w:p>
        </w:tc>
        <w:tc>
          <w:tcPr>
            <w:tcW w:w="1344" w:type="dxa"/>
            <w:tcBorders>
              <w:top w:val="nil"/>
            </w:tcBorders>
          </w:tcPr>
          <w:p w:rsidR="00A41090" w:rsidRDefault="00A41090">
            <w:pPr>
              <w:pStyle w:val="ConsPlusNonformat"/>
              <w:jc w:val="both"/>
            </w:pPr>
            <w:r>
              <w:rPr>
                <w:sz w:val="16"/>
              </w:rPr>
              <w:t xml:space="preserve">  18650,0   </w:t>
            </w:r>
          </w:p>
        </w:tc>
        <w:tc>
          <w:tcPr>
            <w:tcW w:w="1248" w:type="dxa"/>
            <w:tcBorders>
              <w:top w:val="nil"/>
            </w:tcBorders>
          </w:tcPr>
          <w:p w:rsidR="00A41090" w:rsidRDefault="00A41090">
            <w:pPr>
              <w:pStyle w:val="ConsPlusNonformat"/>
              <w:jc w:val="both"/>
            </w:pPr>
            <w:r>
              <w:rPr>
                <w:sz w:val="16"/>
              </w:rPr>
              <w:t xml:space="preserve">  19450,0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17500,0   </w:t>
            </w:r>
          </w:p>
        </w:tc>
        <w:tc>
          <w:tcPr>
            <w:tcW w:w="1344" w:type="dxa"/>
            <w:tcBorders>
              <w:top w:val="nil"/>
            </w:tcBorders>
          </w:tcPr>
          <w:p w:rsidR="00A41090" w:rsidRDefault="00A41090">
            <w:pPr>
              <w:pStyle w:val="ConsPlusNonformat"/>
              <w:jc w:val="both"/>
            </w:pPr>
            <w:r>
              <w:rPr>
                <w:sz w:val="16"/>
              </w:rPr>
              <w:t xml:space="preserve">  17850,0   </w:t>
            </w:r>
          </w:p>
        </w:tc>
        <w:tc>
          <w:tcPr>
            <w:tcW w:w="1248" w:type="dxa"/>
            <w:tcBorders>
              <w:top w:val="nil"/>
            </w:tcBorders>
          </w:tcPr>
          <w:p w:rsidR="00A41090" w:rsidRDefault="00A41090">
            <w:pPr>
              <w:pStyle w:val="ConsPlusNonformat"/>
              <w:jc w:val="both"/>
            </w:pPr>
            <w:r>
              <w:rPr>
                <w:sz w:val="16"/>
              </w:rPr>
              <w:t xml:space="preserve">  18550,0  </w:t>
            </w:r>
          </w:p>
        </w:tc>
      </w:tr>
      <w:tr w:rsidR="00A41090">
        <w:trPr>
          <w:trHeight w:val="160"/>
        </w:trPr>
        <w:tc>
          <w:tcPr>
            <w:tcW w:w="960" w:type="dxa"/>
            <w:tcBorders>
              <w:top w:val="nil"/>
            </w:tcBorders>
          </w:tcPr>
          <w:p w:rsidR="00A41090" w:rsidRDefault="00A41090">
            <w:pPr>
              <w:pStyle w:val="ConsPlusNonformat"/>
              <w:jc w:val="both"/>
            </w:pPr>
            <w:r>
              <w:rPr>
                <w:sz w:val="16"/>
              </w:rPr>
              <w:t xml:space="preserve">   5    </w:t>
            </w:r>
          </w:p>
        </w:tc>
        <w:tc>
          <w:tcPr>
            <w:tcW w:w="13056" w:type="dxa"/>
            <w:gridSpan w:val="9"/>
            <w:tcBorders>
              <w:top w:val="nil"/>
            </w:tcBorders>
          </w:tcPr>
          <w:p w:rsidR="00A41090" w:rsidRDefault="00A41090">
            <w:pPr>
              <w:pStyle w:val="ConsPlusNonformat"/>
              <w:jc w:val="both"/>
            </w:pPr>
            <w:r>
              <w:rPr>
                <w:sz w:val="16"/>
              </w:rPr>
              <w:t xml:space="preserve">Финансы                                                                                                                       </w:t>
            </w:r>
          </w:p>
        </w:tc>
      </w:tr>
      <w:tr w:rsidR="00A41090">
        <w:trPr>
          <w:trHeight w:val="160"/>
        </w:trPr>
        <w:tc>
          <w:tcPr>
            <w:tcW w:w="960" w:type="dxa"/>
            <w:vMerge w:val="restart"/>
            <w:tcBorders>
              <w:top w:val="nil"/>
            </w:tcBorders>
          </w:tcPr>
          <w:p w:rsidR="00A41090" w:rsidRDefault="00A41090">
            <w:pPr>
              <w:pStyle w:val="ConsPlusNonformat"/>
              <w:jc w:val="both"/>
            </w:pPr>
            <w:r>
              <w:rPr>
                <w:sz w:val="16"/>
              </w:rPr>
              <w:t xml:space="preserve">  5.1   </w:t>
            </w:r>
          </w:p>
        </w:tc>
        <w:tc>
          <w:tcPr>
            <w:tcW w:w="3360" w:type="dxa"/>
            <w:vMerge w:val="restart"/>
            <w:tcBorders>
              <w:top w:val="nil"/>
            </w:tcBorders>
          </w:tcPr>
          <w:p w:rsidR="00A41090" w:rsidRDefault="00A41090">
            <w:pPr>
              <w:pStyle w:val="ConsPlusNonformat"/>
              <w:jc w:val="both"/>
            </w:pPr>
            <w:r>
              <w:rPr>
                <w:sz w:val="16"/>
              </w:rPr>
              <w:t xml:space="preserve">Совокупная прибыль </w:t>
            </w:r>
            <w:proofErr w:type="gramStart"/>
            <w:r>
              <w:rPr>
                <w:sz w:val="16"/>
              </w:rPr>
              <w:t>крупных</w:t>
            </w:r>
            <w:proofErr w:type="gramEnd"/>
            <w:r>
              <w:rPr>
                <w:sz w:val="16"/>
              </w:rPr>
              <w:t xml:space="preserve">       </w:t>
            </w:r>
          </w:p>
          <w:p w:rsidR="00A41090" w:rsidRDefault="00A41090">
            <w:pPr>
              <w:pStyle w:val="ConsPlusNonformat"/>
              <w:jc w:val="both"/>
            </w:pPr>
            <w:r>
              <w:rPr>
                <w:sz w:val="16"/>
              </w:rPr>
              <w:t xml:space="preserve">и средних предприятий и          </w:t>
            </w:r>
          </w:p>
          <w:p w:rsidR="00A41090" w:rsidRDefault="00A41090">
            <w:pPr>
              <w:pStyle w:val="ConsPlusNonformat"/>
              <w:jc w:val="both"/>
            </w:pPr>
            <w:r>
              <w:rPr>
                <w:sz w:val="16"/>
              </w:rPr>
              <w:t xml:space="preserve">организаций                      </w:t>
            </w:r>
          </w:p>
        </w:tc>
        <w:tc>
          <w:tcPr>
            <w:tcW w:w="1152" w:type="dxa"/>
            <w:vMerge w:val="restart"/>
            <w:tcBorders>
              <w:top w:val="nil"/>
            </w:tcBorders>
          </w:tcPr>
          <w:p w:rsidR="00A41090" w:rsidRDefault="00A41090">
            <w:pPr>
              <w:pStyle w:val="ConsPlusNonformat"/>
              <w:jc w:val="both"/>
            </w:pPr>
            <w:r>
              <w:rPr>
                <w:sz w:val="16"/>
              </w:rPr>
              <w:t xml:space="preserve"> млн</w:t>
            </w:r>
            <w:proofErr w:type="gramStart"/>
            <w:r>
              <w:rPr>
                <w:sz w:val="16"/>
              </w:rPr>
              <w:t>.р</w:t>
            </w:r>
            <w:proofErr w:type="gramEnd"/>
            <w:r>
              <w:rPr>
                <w:sz w:val="16"/>
              </w:rPr>
              <w:t xml:space="preserve">уб. </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 121078,6 </w:t>
            </w:r>
          </w:p>
        </w:tc>
        <w:tc>
          <w:tcPr>
            <w:tcW w:w="1056" w:type="dxa"/>
            <w:vMerge w:val="restart"/>
            <w:tcBorders>
              <w:top w:val="nil"/>
            </w:tcBorders>
          </w:tcPr>
          <w:p w:rsidR="00A41090" w:rsidRDefault="00A41090">
            <w:pPr>
              <w:pStyle w:val="ConsPlusNonformat"/>
              <w:jc w:val="both"/>
            </w:pPr>
            <w:r>
              <w:rPr>
                <w:sz w:val="16"/>
              </w:rPr>
              <w:t xml:space="preserve">139083,2 </w:t>
            </w:r>
          </w:p>
        </w:tc>
        <w:tc>
          <w:tcPr>
            <w:tcW w:w="1152" w:type="dxa"/>
            <w:vMerge w:val="restart"/>
            <w:tcBorders>
              <w:top w:val="nil"/>
            </w:tcBorders>
          </w:tcPr>
          <w:p w:rsidR="00A41090" w:rsidRDefault="00A41090">
            <w:pPr>
              <w:pStyle w:val="ConsPlusNonformat"/>
              <w:jc w:val="both"/>
            </w:pPr>
            <w:r>
              <w:rPr>
                <w:sz w:val="16"/>
              </w:rPr>
              <w:t xml:space="preserve"> 115100,0 </w:t>
            </w:r>
          </w:p>
        </w:tc>
        <w:tc>
          <w:tcPr>
            <w:tcW w:w="1344" w:type="dxa"/>
            <w:tcBorders>
              <w:top w:val="nil"/>
            </w:tcBorders>
          </w:tcPr>
          <w:p w:rsidR="00A41090" w:rsidRDefault="00A41090">
            <w:pPr>
              <w:pStyle w:val="ConsPlusNonformat"/>
              <w:jc w:val="both"/>
            </w:pPr>
            <w:r>
              <w:rPr>
                <w:sz w:val="16"/>
              </w:rPr>
              <w:t xml:space="preserve">  119100,0  </w:t>
            </w:r>
          </w:p>
        </w:tc>
        <w:tc>
          <w:tcPr>
            <w:tcW w:w="1344" w:type="dxa"/>
            <w:tcBorders>
              <w:top w:val="nil"/>
            </w:tcBorders>
          </w:tcPr>
          <w:p w:rsidR="00A41090" w:rsidRDefault="00A41090">
            <w:pPr>
              <w:pStyle w:val="ConsPlusNonformat"/>
              <w:jc w:val="both"/>
            </w:pPr>
            <w:r>
              <w:rPr>
                <w:sz w:val="16"/>
              </w:rPr>
              <w:t xml:space="preserve">  123850,0  </w:t>
            </w:r>
          </w:p>
        </w:tc>
        <w:tc>
          <w:tcPr>
            <w:tcW w:w="1248" w:type="dxa"/>
            <w:tcBorders>
              <w:top w:val="nil"/>
            </w:tcBorders>
          </w:tcPr>
          <w:p w:rsidR="00A41090" w:rsidRDefault="00A41090">
            <w:pPr>
              <w:pStyle w:val="ConsPlusNonformat"/>
              <w:jc w:val="both"/>
            </w:pPr>
            <w:r>
              <w:rPr>
                <w:sz w:val="16"/>
              </w:rPr>
              <w:t xml:space="preserve"> 132950,0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117350,0  </w:t>
            </w:r>
          </w:p>
        </w:tc>
        <w:tc>
          <w:tcPr>
            <w:tcW w:w="1344" w:type="dxa"/>
            <w:tcBorders>
              <w:top w:val="nil"/>
            </w:tcBorders>
          </w:tcPr>
          <w:p w:rsidR="00A41090" w:rsidRDefault="00A41090">
            <w:pPr>
              <w:pStyle w:val="ConsPlusNonformat"/>
              <w:jc w:val="both"/>
            </w:pPr>
            <w:r>
              <w:rPr>
                <w:sz w:val="16"/>
              </w:rPr>
              <w:t xml:space="preserve">  120450,0  </w:t>
            </w:r>
          </w:p>
        </w:tc>
        <w:tc>
          <w:tcPr>
            <w:tcW w:w="1248" w:type="dxa"/>
            <w:tcBorders>
              <w:top w:val="nil"/>
            </w:tcBorders>
          </w:tcPr>
          <w:p w:rsidR="00A41090" w:rsidRDefault="00A41090">
            <w:pPr>
              <w:pStyle w:val="ConsPlusNonformat"/>
              <w:jc w:val="both"/>
            </w:pPr>
            <w:r>
              <w:rPr>
                <w:sz w:val="16"/>
              </w:rPr>
              <w:t xml:space="preserve"> 124850,0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115600,0  </w:t>
            </w:r>
          </w:p>
        </w:tc>
        <w:tc>
          <w:tcPr>
            <w:tcW w:w="1344" w:type="dxa"/>
            <w:tcBorders>
              <w:top w:val="nil"/>
            </w:tcBorders>
          </w:tcPr>
          <w:p w:rsidR="00A41090" w:rsidRDefault="00A41090">
            <w:pPr>
              <w:pStyle w:val="ConsPlusNonformat"/>
              <w:jc w:val="both"/>
            </w:pPr>
            <w:r>
              <w:rPr>
                <w:sz w:val="16"/>
              </w:rPr>
              <w:t xml:space="preserve">  117300,0  </w:t>
            </w:r>
          </w:p>
        </w:tc>
        <w:tc>
          <w:tcPr>
            <w:tcW w:w="1248" w:type="dxa"/>
            <w:tcBorders>
              <w:top w:val="nil"/>
            </w:tcBorders>
          </w:tcPr>
          <w:p w:rsidR="00A41090" w:rsidRDefault="00A41090">
            <w:pPr>
              <w:pStyle w:val="ConsPlusNonformat"/>
              <w:jc w:val="both"/>
            </w:pPr>
            <w:r>
              <w:rPr>
                <w:sz w:val="16"/>
              </w:rPr>
              <w:t xml:space="preserve"> 120500,0  </w:t>
            </w:r>
          </w:p>
        </w:tc>
      </w:tr>
      <w:tr w:rsidR="00A41090">
        <w:trPr>
          <w:trHeight w:val="160"/>
        </w:trPr>
        <w:tc>
          <w:tcPr>
            <w:tcW w:w="960" w:type="dxa"/>
            <w:tcBorders>
              <w:top w:val="nil"/>
            </w:tcBorders>
          </w:tcPr>
          <w:p w:rsidR="00A41090" w:rsidRDefault="00A41090">
            <w:pPr>
              <w:pStyle w:val="ConsPlusNonformat"/>
              <w:jc w:val="both"/>
            </w:pPr>
            <w:r>
              <w:rPr>
                <w:sz w:val="16"/>
              </w:rPr>
              <w:t xml:space="preserve">   6    </w:t>
            </w:r>
          </w:p>
        </w:tc>
        <w:tc>
          <w:tcPr>
            <w:tcW w:w="13056" w:type="dxa"/>
            <w:gridSpan w:val="9"/>
            <w:tcBorders>
              <w:top w:val="nil"/>
            </w:tcBorders>
          </w:tcPr>
          <w:p w:rsidR="00A41090" w:rsidRDefault="00A41090">
            <w:pPr>
              <w:pStyle w:val="ConsPlusNonformat"/>
              <w:jc w:val="both"/>
            </w:pPr>
            <w:r>
              <w:rPr>
                <w:sz w:val="16"/>
              </w:rPr>
              <w:t xml:space="preserve">Инвестиции                                                                                                                    </w:t>
            </w:r>
          </w:p>
        </w:tc>
      </w:tr>
      <w:tr w:rsidR="00A41090">
        <w:trPr>
          <w:trHeight w:val="160"/>
        </w:trPr>
        <w:tc>
          <w:tcPr>
            <w:tcW w:w="960" w:type="dxa"/>
            <w:vMerge w:val="restart"/>
            <w:tcBorders>
              <w:top w:val="nil"/>
            </w:tcBorders>
          </w:tcPr>
          <w:p w:rsidR="00A41090" w:rsidRDefault="00A41090">
            <w:pPr>
              <w:pStyle w:val="ConsPlusNonformat"/>
              <w:jc w:val="both"/>
            </w:pPr>
            <w:r>
              <w:rPr>
                <w:sz w:val="16"/>
              </w:rPr>
              <w:t xml:space="preserve">  6.1   </w:t>
            </w:r>
          </w:p>
        </w:tc>
        <w:tc>
          <w:tcPr>
            <w:tcW w:w="3360" w:type="dxa"/>
            <w:vMerge w:val="restart"/>
            <w:tcBorders>
              <w:top w:val="nil"/>
            </w:tcBorders>
          </w:tcPr>
          <w:p w:rsidR="00A41090" w:rsidRDefault="00A41090">
            <w:pPr>
              <w:pStyle w:val="ConsPlusNonformat"/>
              <w:jc w:val="both"/>
            </w:pPr>
            <w:r>
              <w:rPr>
                <w:sz w:val="16"/>
              </w:rPr>
              <w:t xml:space="preserve">Объем инвестиций </w:t>
            </w:r>
            <w:proofErr w:type="gramStart"/>
            <w:r>
              <w:rPr>
                <w:sz w:val="16"/>
              </w:rPr>
              <w:t>в</w:t>
            </w:r>
            <w:proofErr w:type="gramEnd"/>
            <w:r>
              <w:rPr>
                <w:sz w:val="16"/>
              </w:rPr>
              <w:t xml:space="preserve"> основной      </w:t>
            </w:r>
          </w:p>
          <w:p w:rsidR="00A41090" w:rsidRDefault="00A41090">
            <w:pPr>
              <w:pStyle w:val="ConsPlusNonformat"/>
              <w:jc w:val="both"/>
            </w:pPr>
            <w:r>
              <w:rPr>
                <w:sz w:val="16"/>
              </w:rPr>
              <w:t xml:space="preserve">капитал за счет всех источников  </w:t>
            </w:r>
          </w:p>
          <w:p w:rsidR="00A41090" w:rsidRDefault="00A41090">
            <w:pPr>
              <w:pStyle w:val="ConsPlusNonformat"/>
              <w:jc w:val="both"/>
            </w:pPr>
            <w:r>
              <w:rPr>
                <w:sz w:val="16"/>
              </w:rPr>
              <w:t xml:space="preserve">финансирования                   </w:t>
            </w:r>
          </w:p>
        </w:tc>
        <w:tc>
          <w:tcPr>
            <w:tcW w:w="1152" w:type="dxa"/>
            <w:vMerge w:val="restart"/>
            <w:tcBorders>
              <w:top w:val="nil"/>
            </w:tcBorders>
          </w:tcPr>
          <w:p w:rsidR="00A41090" w:rsidRDefault="00A41090">
            <w:pPr>
              <w:pStyle w:val="ConsPlusNonformat"/>
              <w:jc w:val="both"/>
            </w:pPr>
            <w:r>
              <w:rPr>
                <w:sz w:val="16"/>
              </w:rPr>
              <w:t xml:space="preserve"> млн</w:t>
            </w:r>
            <w:proofErr w:type="gramStart"/>
            <w:r>
              <w:rPr>
                <w:sz w:val="16"/>
              </w:rPr>
              <w:t>.р</w:t>
            </w:r>
            <w:proofErr w:type="gramEnd"/>
            <w:r>
              <w:rPr>
                <w:sz w:val="16"/>
              </w:rPr>
              <w:t xml:space="preserve">уб. </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 93615,7  </w:t>
            </w:r>
          </w:p>
        </w:tc>
        <w:tc>
          <w:tcPr>
            <w:tcW w:w="1056" w:type="dxa"/>
            <w:vMerge w:val="restart"/>
            <w:tcBorders>
              <w:top w:val="nil"/>
            </w:tcBorders>
          </w:tcPr>
          <w:p w:rsidR="00A41090" w:rsidRDefault="00A41090">
            <w:pPr>
              <w:pStyle w:val="ConsPlusNonformat"/>
              <w:jc w:val="both"/>
            </w:pPr>
            <w:r>
              <w:rPr>
                <w:sz w:val="16"/>
              </w:rPr>
              <w:t xml:space="preserve">112498,6 </w:t>
            </w:r>
          </w:p>
        </w:tc>
        <w:tc>
          <w:tcPr>
            <w:tcW w:w="1152" w:type="dxa"/>
            <w:vMerge w:val="restart"/>
            <w:tcBorders>
              <w:top w:val="nil"/>
            </w:tcBorders>
          </w:tcPr>
          <w:p w:rsidR="00A41090" w:rsidRDefault="00A41090">
            <w:pPr>
              <w:pStyle w:val="ConsPlusNonformat"/>
              <w:jc w:val="both"/>
            </w:pPr>
            <w:r>
              <w:rPr>
                <w:sz w:val="16"/>
              </w:rPr>
              <w:t xml:space="preserve"> 93800,0  </w:t>
            </w:r>
          </w:p>
        </w:tc>
        <w:tc>
          <w:tcPr>
            <w:tcW w:w="1344" w:type="dxa"/>
            <w:tcBorders>
              <w:top w:val="nil"/>
            </w:tcBorders>
          </w:tcPr>
          <w:p w:rsidR="00A41090" w:rsidRDefault="00A41090">
            <w:pPr>
              <w:pStyle w:val="ConsPlusNonformat"/>
              <w:jc w:val="both"/>
            </w:pPr>
            <w:r>
              <w:rPr>
                <w:sz w:val="16"/>
              </w:rPr>
              <w:t xml:space="preserve">  92050,0   </w:t>
            </w:r>
          </w:p>
        </w:tc>
        <w:tc>
          <w:tcPr>
            <w:tcW w:w="1344" w:type="dxa"/>
            <w:tcBorders>
              <w:top w:val="nil"/>
            </w:tcBorders>
          </w:tcPr>
          <w:p w:rsidR="00A41090" w:rsidRDefault="00A41090">
            <w:pPr>
              <w:pStyle w:val="ConsPlusNonformat"/>
              <w:jc w:val="both"/>
            </w:pPr>
            <w:r>
              <w:rPr>
                <w:sz w:val="16"/>
              </w:rPr>
              <w:t xml:space="preserve">  98050,0   </w:t>
            </w:r>
          </w:p>
        </w:tc>
        <w:tc>
          <w:tcPr>
            <w:tcW w:w="1248" w:type="dxa"/>
            <w:tcBorders>
              <w:top w:val="nil"/>
            </w:tcBorders>
          </w:tcPr>
          <w:p w:rsidR="00A41090" w:rsidRDefault="00A41090">
            <w:pPr>
              <w:pStyle w:val="ConsPlusNonformat"/>
              <w:jc w:val="both"/>
            </w:pPr>
            <w:r>
              <w:rPr>
                <w:sz w:val="16"/>
              </w:rPr>
              <w:t xml:space="preserve"> 106850,0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91250,0   </w:t>
            </w:r>
          </w:p>
        </w:tc>
        <w:tc>
          <w:tcPr>
            <w:tcW w:w="1344" w:type="dxa"/>
            <w:tcBorders>
              <w:top w:val="nil"/>
            </w:tcBorders>
          </w:tcPr>
          <w:p w:rsidR="00A41090" w:rsidRDefault="00A41090">
            <w:pPr>
              <w:pStyle w:val="ConsPlusNonformat"/>
              <w:jc w:val="both"/>
            </w:pPr>
            <w:r>
              <w:rPr>
                <w:sz w:val="16"/>
              </w:rPr>
              <w:t xml:space="preserve">  95050,0   </w:t>
            </w:r>
          </w:p>
        </w:tc>
        <w:tc>
          <w:tcPr>
            <w:tcW w:w="1248" w:type="dxa"/>
            <w:tcBorders>
              <w:top w:val="nil"/>
            </w:tcBorders>
          </w:tcPr>
          <w:p w:rsidR="00A41090" w:rsidRDefault="00A41090">
            <w:pPr>
              <w:pStyle w:val="ConsPlusNonformat"/>
              <w:jc w:val="both"/>
            </w:pPr>
            <w:r>
              <w:rPr>
                <w:sz w:val="16"/>
              </w:rPr>
              <w:t xml:space="preserve"> 100150,0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056" w:type="dxa"/>
            <w:vMerge/>
            <w:tcBorders>
              <w:top w:val="nil"/>
            </w:tcBorders>
          </w:tcPr>
          <w:p w:rsidR="00A41090" w:rsidRDefault="00A41090"/>
        </w:tc>
        <w:tc>
          <w:tcPr>
            <w:tcW w:w="1344" w:type="dxa"/>
            <w:tcBorders>
              <w:top w:val="nil"/>
            </w:tcBorders>
          </w:tcPr>
          <w:p w:rsidR="00A41090" w:rsidRDefault="00A41090">
            <w:pPr>
              <w:pStyle w:val="ConsPlusNonformat"/>
              <w:jc w:val="both"/>
            </w:pPr>
            <w:r>
              <w:rPr>
                <w:sz w:val="16"/>
              </w:rPr>
              <w:t xml:space="preserve">  87850,0   </w:t>
            </w:r>
          </w:p>
        </w:tc>
        <w:tc>
          <w:tcPr>
            <w:tcW w:w="1344" w:type="dxa"/>
            <w:tcBorders>
              <w:top w:val="nil"/>
            </w:tcBorders>
          </w:tcPr>
          <w:p w:rsidR="00A41090" w:rsidRDefault="00A41090">
            <w:pPr>
              <w:pStyle w:val="ConsPlusNonformat"/>
              <w:jc w:val="both"/>
            </w:pPr>
            <w:r>
              <w:rPr>
                <w:sz w:val="16"/>
              </w:rPr>
              <w:t xml:space="preserve">  91150,0   </w:t>
            </w:r>
          </w:p>
        </w:tc>
        <w:tc>
          <w:tcPr>
            <w:tcW w:w="1248" w:type="dxa"/>
            <w:tcBorders>
              <w:top w:val="nil"/>
            </w:tcBorders>
          </w:tcPr>
          <w:p w:rsidR="00A41090" w:rsidRDefault="00A41090">
            <w:pPr>
              <w:pStyle w:val="ConsPlusNonformat"/>
              <w:jc w:val="both"/>
            </w:pPr>
            <w:r>
              <w:rPr>
                <w:sz w:val="16"/>
              </w:rPr>
              <w:t xml:space="preserve">  95450,0  </w:t>
            </w:r>
          </w:p>
        </w:tc>
      </w:tr>
      <w:tr w:rsidR="00A41090">
        <w:trPr>
          <w:trHeight w:val="160"/>
        </w:trPr>
        <w:tc>
          <w:tcPr>
            <w:tcW w:w="960" w:type="dxa"/>
            <w:tcBorders>
              <w:top w:val="nil"/>
            </w:tcBorders>
          </w:tcPr>
          <w:p w:rsidR="00A41090" w:rsidRDefault="00A41090">
            <w:pPr>
              <w:pStyle w:val="ConsPlusNonformat"/>
              <w:jc w:val="both"/>
            </w:pPr>
            <w:r>
              <w:rPr>
                <w:sz w:val="16"/>
              </w:rPr>
              <w:lastRenderedPageBreak/>
              <w:t xml:space="preserve">   7    </w:t>
            </w:r>
          </w:p>
        </w:tc>
        <w:tc>
          <w:tcPr>
            <w:tcW w:w="13056" w:type="dxa"/>
            <w:gridSpan w:val="9"/>
            <w:tcBorders>
              <w:top w:val="nil"/>
            </w:tcBorders>
          </w:tcPr>
          <w:p w:rsidR="00A41090" w:rsidRDefault="00A41090">
            <w:pPr>
              <w:pStyle w:val="ConsPlusNonformat"/>
              <w:jc w:val="both"/>
            </w:pPr>
            <w:r>
              <w:rPr>
                <w:sz w:val="16"/>
              </w:rPr>
              <w:t xml:space="preserve">Цены и тарифы                                                                                                                 </w:t>
            </w:r>
          </w:p>
        </w:tc>
      </w:tr>
      <w:tr w:rsidR="00A41090">
        <w:trPr>
          <w:trHeight w:val="160"/>
        </w:trPr>
        <w:tc>
          <w:tcPr>
            <w:tcW w:w="960" w:type="dxa"/>
            <w:tcBorders>
              <w:top w:val="nil"/>
            </w:tcBorders>
          </w:tcPr>
          <w:p w:rsidR="00A41090" w:rsidRDefault="00A41090">
            <w:pPr>
              <w:pStyle w:val="ConsPlusNonformat"/>
              <w:jc w:val="both"/>
            </w:pPr>
            <w:r>
              <w:rPr>
                <w:sz w:val="16"/>
              </w:rPr>
              <w:t xml:space="preserve">  7.1   </w:t>
            </w:r>
          </w:p>
        </w:tc>
        <w:tc>
          <w:tcPr>
            <w:tcW w:w="3360" w:type="dxa"/>
            <w:tcBorders>
              <w:top w:val="nil"/>
            </w:tcBorders>
          </w:tcPr>
          <w:p w:rsidR="00A41090" w:rsidRDefault="00A41090">
            <w:pPr>
              <w:pStyle w:val="ConsPlusNonformat"/>
              <w:jc w:val="both"/>
            </w:pPr>
            <w:r>
              <w:rPr>
                <w:sz w:val="16"/>
              </w:rPr>
              <w:t xml:space="preserve">Сводный индекс </w:t>
            </w:r>
            <w:proofErr w:type="gramStart"/>
            <w:r>
              <w:rPr>
                <w:sz w:val="16"/>
              </w:rPr>
              <w:t>потребительских</w:t>
            </w:r>
            <w:proofErr w:type="gramEnd"/>
            <w:r>
              <w:rPr>
                <w:sz w:val="16"/>
              </w:rPr>
              <w:t xml:space="preserve">   </w:t>
            </w:r>
          </w:p>
          <w:p w:rsidR="00A41090" w:rsidRDefault="00A41090">
            <w:pPr>
              <w:pStyle w:val="ConsPlusNonformat"/>
              <w:jc w:val="both"/>
            </w:pPr>
            <w:r>
              <w:rPr>
                <w:sz w:val="16"/>
              </w:rPr>
              <w:t>цен (</w:t>
            </w:r>
            <w:proofErr w:type="gramStart"/>
            <w:r>
              <w:rPr>
                <w:sz w:val="16"/>
              </w:rPr>
              <w:t>среднегодовой</w:t>
            </w:r>
            <w:proofErr w:type="gramEnd"/>
            <w:r>
              <w:rPr>
                <w:sz w:val="16"/>
              </w:rPr>
              <w:t xml:space="preserve">)              </w:t>
            </w:r>
          </w:p>
        </w:tc>
        <w:tc>
          <w:tcPr>
            <w:tcW w:w="1152" w:type="dxa"/>
            <w:tcBorders>
              <w:top w:val="nil"/>
            </w:tcBorders>
          </w:tcPr>
          <w:p w:rsidR="00A41090" w:rsidRDefault="00A41090">
            <w:pPr>
              <w:pStyle w:val="ConsPlusNonformat"/>
              <w:jc w:val="both"/>
            </w:pPr>
            <w:r>
              <w:rPr>
                <w:sz w:val="16"/>
              </w:rPr>
              <w:t xml:space="preserve">    %     </w:t>
            </w:r>
          </w:p>
        </w:tc>
        <w:tc>
          <w:tcPr>
            <w:tcW w:w="1248" w:type="dxa"/>
            <w:tcBorders>
              <w:top w:val="nil"/>
            </w:tcBorders>
          </w:tcPr>
          <w:p w:rsidR="00A41090" w:rsidRDefault="00A41090">
            <w:pPr>
              <w:pStyle w:val="ConsPlusNonformat"/>
              <w:jc w:val="both"/>
            </w:pPr>
          </w:p>
        </w:tc>
        <w:tc>
          <w:tcPr>
            <w:tcW w:w="1152" w:type="dxa"/>
            <w:tcBorders>
              <w:top w:val="nil"/>
            </w:tcBorders>
          </w:tcPr>
          <w:p w:rsidR="00A41090" w:rsidRDefault="00A41090">
            <w:pPr>
              <w:pStyle w:val="ConsPlusNonformat"/>
              <w:jc w:val="both"/>
            </w:pPr>
            <w:r>
              <w:rPr>
                <w:sz w:val="16"/>
              </w:rPr>
              <w:t xml:space="preserve">  107,4   </w:t>
            </w:r>
          </w:p>
        </w:tc>
        <w:tc>
          <w:tcPr>
            <w:tcW w:w="1056" w:type="dxa"/>
            <w:tcBorders>
              <w:top w:val="nil"/>
            </w:tcBorders>
          </w:tcPr>
          <w:p w:rsidR="00A41090" w:rsidRDefault="00A41090">
            <w:pPr>
              <w:pStyle w:val="ConsPlusNonformat"/>
              <w:jc w:val="both"/>
            </w:pPr>
            <w:r>
              <w:rPr>
                <w:sz w:val="16"/>
              </w:rPr>
              <w:t xml:space="preserve">  114,6  </w:t>
            </w:r>
          </w:p>
        </w:tc>
        <w:tc>
          <w:tcPr>
            <w:tcW w:w="1152" w:type="dxa"/>
            <w:tcBorders>
              <w:top w:val="nil"/>
            </w:tcBorders>
          </w:tcPr>
          <w:p w:rsidR="00A41090" w:rsidRDefault="00A41090">
            <w:pPr>
              <w:pStyle w:val="ConsPlusNonformat"/>
              <w:jc w:val="both"/>
            </w:pPr>
            <w:r>
              <w:rPr>
                <w:sz w:val="16"/>
              </w:rPr>
              <w:t xml:space="preserve">  107,6   </w:t>
            </w:r>
          </w:p>
        </w:tc>
        <w:tc>
          <w:tcPr>
            <w:tcW w:w="1344" w:type="dxa"/>
            <w:tcBorders>
              <w:top w:val="nil"/>
            </w:tcBorders>
          </w:tcPr>
          <w:p w:rsidR="00A41090" w:rsidRDefault="00A41090">
            <w:pPr>
              <w:pStyle w:val="ConsPlusNonformat"/>
              <w:jc w:val="both"/>
            </w:pPr>
            <w:r>
              <w:rPr>
                <w:sz w:val="16"/>
              </w:rPr>
              <w:t xml:space="preserve">   107,3    </w:t>
            </w:r>
          </w:p>
        </w:tc>
        <w:tc>
          <w:tcPr>
            <w:tcW w:w="1344" w:type="dxa"/>
            <w:tcBorders>
              <w:top w:val="nil"/>
            </w:tcBorders>
          </w:tcPr>
          <w:p w:rsidR="00A41090" w:rsidRDefault="00A41090">
            <w:pPr>
              <w:pStyle w:val="ConsPlusNonformat"/>
              <w:jc w:val="both"/>
            </w:pPr>
            <w:r>
              <w:rPr>
                <w:sz w:val="16"/>
              </w:rPr>
              <w:t xml:space="preserve">   107,6    </w:t>
            </w:r>
          </w:p>
        </w:tc>
        <w:tc>
          <w:tcPr>
            <w:tcW w:w="1248" w:type="dxa"/>
            <w:tcBorders>
              <w:top w:val="nil"/>
            </w:tcBorders>
          </w:tcPr>
          <w:p w:rsidR="00A41090" w:rsidRDefault="00A41090">
            <w:pPr>
              <w:pStyle w:val="ConsPlusNonformat"/>
              <w:jc w:val="both"/>
            </w:pPr>
            <w:r>
              <w:rPr>
                <w:sz w:val="16"/>
              </w:rPr>
              <w:t xml:space="preserve">   106,7   </w:t>
            </w:r>
          </w:p>
        </w:tc>
      </w:tr>
      <w:tr w:rsidR="00A41090">
        <w:trPr>
          <w:trHeight w:val="160"/>
        </w:trPr>
        <w:tc>
          <w:tcPr>
            <w:tcW w:w="960" w:type="dxa"/>
            <w:vMerge w:val="restart"/>
            <w:tcBorders>
              <w:top w:val="nil"/>
            </w:tcBorders>
          </w:tcPr>
          <w:p w:rsidR="00A41090" w:rsidRDefault="00A41090">
            <w:pPr>
              <w:pStyle w:val="ConsPlusNonformat"/>
              <w:jc w:val="both"/>
            </w:pPr>
            <w:r>
              <w:rPr>
                <w:sz w:val="16"/>
              </w:rPr>
              <w:t xml:space="preserve">  7.2   </w:t>
            </w:r>
          </w:p>
        </w:tc>
        <w:tc>
          <w:tcPr>
            <w:tcW w:w="3360" w:type="dxa"/>
            <w:vMerge w:val="restart"/>
            <w:tcBorders>
              <w:top w:val="nil"/>
            </w:tcBorders>
          </w:tcPr>
          <w:p w:rsidR="00A41090" w:rsidRDefault="00A41090">
            <w:pPr>
              <w:pStyle w:val="ConsPlusNonformat"/>
              <w:jc w:val="both"/>
            </w:pPr>
            <w:r>
              <w:rPr>
                <w:sz w:val="16"/>
              </w:rPr>
              <w:t xml:space="preserve">Индекс-дефлятор цен на </w:t>
            </w:r>
            <w:proofErr w:type="gramStart"/>
            <w:r>
              <w:rPr>
                <w:sz w:val="16"/>
              </w:rPr>
              <w:t>тепловую</w:t>
            </w:r>
            <w:proofErr w:type="gramEnd"/>
            <w:r>
              <w:rPr>
                <w:sz w:val="16"/>
              </w:rPr>
              <w:t xml:space="preserve">  </w:t>
            </w:r>
          </w:p>
          <w:p w:rsidR="00A41090" w:rsidRDefault="00A41090">
            <w:pPr>
              <w:pStyle w:val="ConsPlusNonformat"/>
              <w:jc w:val="both"/>
            </w:pPr>
            <w:r>
              <w:rPr>
                <w:sz w:val="16"/>
              </w:rPr>
              <w:t xml:space="preserve">энергию                          </w:t>
            </w:r>
          </w:p>
        </w:tc>
        <w:tc>
          <w:tcPr>
            <w:tcW w:w="1152" w:type="dxa"/>
            <w:vMerge w:val="restart"/>
            <w:tcBorders>
              <w:top w:val="nil"/>
            </w:tcBorders>
          </w:tcPr>
          <w:p w:rsidR="00A41090" w:rsidRDefault="00A41090">
            <w:pPr>
              <w:pStyle w:val="ConsPlusNonformat"/>
              <w:jc w:val="both"/>
            </w:pPr>
            <w:r>
              <w:rPr>
                <w:sz w:val="16"/>
              </w:rPr>
              <w:t xml:space="preserve">    %     </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  104,9   </w:t>
            </w:r>
          </w:p>
        </w:tc>
        <w:tc>
          <w:tcPr>
            <w:tcW w:w="1056" w:type="dxa"/>
            <w:vMerge w:val="restart"/>
            <w:tcBorders>
              <w:top w:val="nil"/>
            </w:tcBorders>
          </w:tcPr>
          <w:p w:rsidR="00A41090" w:rsidRDefault="00A41090">
            <w:pPr>
              <w:pStyle w:val="ConsPlusNonformat"/>
              <w:jc w:val="both"/>
            </w:pPr>
            <w:r>
              <w:rPr>
                <w:sz w:val="16"/>
              </w:rPr>
              <w:t xml:space="preserve">  108,9  </w:t>
            </w:r>
          </w:p>
        </w:tc>
        <w:tc>
          <w:tcPr>
            <w:tcW w:w="1152" w:type="dxa"/>
            <w:tcBorders>
              <w:top w:val="nil"/>
            </w:tcBorders>
          </w:tcPr>
          <w:p w:rsidR="00A41090" w:rsidRDefault="00A41090">
            <w:pPr>
              <w:pStyle w:val="ConsPlusNonformat"/>
              <w:jc w:val="both"/>
            </w:pPr>
            <w:r>
              <w:rPr>
                <w:sz w:val="16"/>
              </w:rPr>
              <w:t xml:space="preserve">  104,7   </w:t>
            </w:r>
          </w:p>
        </w:tc>
        <w:tc>
          <w:tcPr>
            <w:tcW w:w="1344" w:type="dxa"/>
            <w:tcBorders>
              <w:top w:val="nil"/>
            </w:tcBorders>
          </w:tcPr>
          <w:p w:rsidR="00A41090" w:rsidRDefault="00A41090">
            <w:pPr>
              <w:pStyle w:val="ConsPlusNonformat"/>
              <w:jc w:val="both"/>
            </w:pPr>
            <w:r>
              <w:rPr>
                <w:sz w:val="16"/>
              </w:rPr>
              <w:t xml:space="preserve">   103,5    </w:t>
            </w:r>
          </w:p>
        </w:tc>
        <w:tc>
          <w:tcPr>
            <w:tcW w:w="1344" w:type="dxa"/>
            <w:tcBorders>
              <w:top w:val="nil"/>
            </w:tcBorders>
          </w:tcPr>
          <w:p w:rsidR="00A41090" w:rsidRDefault="00A41090">
            <w:pPr>
              <w:pStyle w:val="ConsPlusNonformat"/>
              <w:jc w:val="both"/>
            </w:pPr>
            <w:r>
              <w:rPr>
                <w:sz w:val="16"/>
              </w:rPr>
              <w:t xml:space="preserve">   103,9    </w:t>
            </w:r>
          </w:p>
        </w:tc>
        <w:tc>
          <w:tcPr>
            <w:tcW w:w="1248" w:type="dxa"/>
            <w:tcBorders>
              <w:top w:val="nil"/>
            </w:tcBorders>
          </w:tcPr>
          <w:p w:rsidR="00A41090" w:rsidRDefault="00A41090">
            <w:pPr>
              <w:pStyle w:val="ConsPlusNonformat"/>
              <w:jc w:val="both"/>
            </w:pPr>
            <w:r>
              <w:rPr>
                <w:sz w:val="16"/>
              </w:rPr>
              <w:t xml:space="preserve">   103,7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152" w:type="dxa"/>
            <w:tcBorders>
              <w:top w:val="nil"/>
            </w:tcBorders>
          </w:tcPr>
          <w:p w:rsidR="00A41090" w:rsidRDefault="00A41090">
            <w:pPr>
              <w:pStyle w:val="ConsPlusNonformat"/>
              <w:jc w:val="both"/>
            </w:pPr>
            <w:r>
              <w:rPr>
                <w:sz w:val="16"/>
              </w:rPr>
              <w:t xml:space="preserve">  104,7   </w:t>
            </w:r>
          </w:p>
        </w:tc>
        <w:tc>
          <w:tcPr>
            <w:tcW w:w="1344" w:type="dxa"/>
            <w:tcBorders>
              <w:top w:val="nil"/>
            </w:tcBorders>
          </w:tcPr>
          <w:p w:rsidR="00A41090" w:rsidRDefault="00A41090">
            <w:pPr>
              <w:pStyle w:val="ConsPlusNonformat"/>
              <w:jc w:val="both"/>
            </w:pPr>
            <w:r>
              <w:rPr>
                <w:sz w:val="16"/>
              </w:rPr>
              <w:t xml:space="preserve">   103,5    </w:t>
            </w:r>
          </w:p>
        </w:tc>
        <w:tc>
          <w:tcPr>
            <w:tcW w:w="1344" w:type="dxa"/>
            <w:tcBorders>
              <w:top w:val="nil"/>
            </w:tcBorders>
          </w:tcPr>
          <w:p w:rsidR="00A41090" w:rsidRDefault="00A41090">
            <w:pPr>
              <w:pStyle w:val="ConsPlusNonformat"/>
              <w:jc w:val="both"/>
            </w:pPr>
            <w:r>
              <w:rPr>
                <w:sz w:val="16"/>
              </w:rPr>
              <w:t xml:space="preserve">   103,9    </w:t>
            </w:r>
          </w:p>
        </w:tc>
        <w:tc>
          <w:tcPr>
            <w:tcW w:w="1248" w:type="dxa"/>
            <w:tcBorders>
              <w:top w:val="nil"/>
            </w:tcBorders>
          </w:tcPr>
          <w:p w:rsidR="00A41090" w:rsidRDefault="00A41090">
            <w:pPr>
              <w:pStyle w:val="ConsPlusNonformat"/>
              <w:jc w:val="both"/>
            </w:pPr>
            <w:r>
              <w:rPr>
                <w:sz w:val="16"/>
              </w:rPr>
              <w:t xml:space="preserve">   103,7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152" w:type="dxa"/>
            <w:tcBorders>
              <w:top w:val="nil"/>
            </w:tcBorders>
          </w:tcPr>
          <w:p w:rsidR="00A41090" w:rsidRDefault="00A41090">
            <w:pPr>
              <w:pStyle w:val="ConsPlusNonformat"/>
              <w:jc w:val="both"/>
            </w:pPr>
            <w:r>
              <w:rPr>
                <w:sz w:val="16"/>
              </w:rPr>
              <w:t xml:space="preserve">  104,9   </w:t>
            </w:r>
          </w:p>
        </w:tc>
        <w:tc>
          <w:tcPr>
            <w:tcW w:w="1344" w:type="dxa"/>
            <w:tcBorders>
              <w:top w:val="nil"/>
            </w:tcBorders>
          </w:tcPr>
          <w:p w:rsidR="00A41090" w:rsidRDefault="00A41090">
            <w:pPr>
              <w:pStyle w:val="ConsPlusNonformat"/>
              <w:jc w:val="both"/>
            </w:pPr>
            <w:r>
              <w:rPr>
                <w:sz w:val="16"/>
              </w:rPr>
              <w:t xml:space="preserve">   104,1    </w:t>
            </w:r>
          </w:p>
        </w:tc>
        <w:tc>
          <w:tcPr>
            <w:tcW w:w="1344" w:type="dxa"/>
            <w:tcBorders>
              <w:top w:val="nil"/>
            </w:tcBorders>
          </w:tcPr>
          <w:p w:rsidR="00A41090" w:rsidRDefault="00A41090">
            <w:pPr>
              <w:pStyle w:val="ConsPlusNonformat"/>
              <w:jc w:val="both"/>
            </w:pPr>
            <w:r>
              <w:rPr>
                <w:sz w:val="16"/>
              </w:rPr>
              <w:t xml:space="preserve">   104,1    </w:t>
            </w:r>
          </w:p>
        </w:tc>
        <w:tc>
          <w:tcPr>
            <w:tcW w:w="1248" w:type="dxa"/>
            <w:tcBorders>
              <w:top w:val="nil"/>
            </w:tcBorders>
          </w:tcPr>
          <w:p w:rsidR="00A41090" w:rsidRDefault="00A41090">
            <w:pPr>
              <w:pStyle w:val="ConsPlusNonformat"/>
              <w:jc w:val="both"/>
            </w:pPr>
            <w:r>
              <w:rPr>
                <w:sz w:val="16"/>
              </w:rPr>
              <w:t xml:space="preserve">   103,8   </w:t>
            </w:r>
          </w:p>
        </w:tc>
      </w:tr>
      <w:tr w:rsidR="00A41090">
        <w:trPr>
          <w:trHeight w:val="160"/>
        </w:trPr>
        <w:tc>
          <w:tcPr>
            <w:tcW w:w="960" w:type="dxa"/>
            <w:vMerge w:val="restart"/>
            <w:tcBorders>
              <w:top w:val="nil"/>
            </w:tcBorders>
          </w:tcPr>
          <w:p w:rsidR="00A41090" w:rsidRDefault="00A41090">
            <w:pPr>
              <w:pStyle w:val="ConsPlusNonformat"/>
              <w:jc w:val="both"/>
            </w:pPr>
            <w:r>
              <w:rPr>
                <w:sz w:val="16"/>
              </w:rPr>
              <w:t xml:space="preserve">  7.3   </w:t>
            </w:r>
          </w:p>
        </w:tc>
        <w:tc>
          <w:tcPr>
            <w:tcW w:w="3360" w:type="dxa"/>
            <w:vMerge w:val="restart"/>
            <w:tcBorders>
              <w:top w:val="nil"/>
            </w:tcBorders>
          </w:tcPr>
          <w:p w:rsidR="00A41090" w:rsidRDefault="00A41090">
            <w:pPr>
              <w:pStyle w:val="ConsPlusNonformat"/>
              <w:jc w:val="both"/>
            </w:pPr>
            <w:r>
              <w:rPr>
                <w:sz w:val="16"/>
              </w:rPr>
              <w:t xml:space="preserve">Индекс-дефлятор цен              </w:t>
            </w:r>
          </w:p>
          <w:p w:rsidR="00A41090" w:rsidRDefault="00A41090">
            <w:pPr>
              <w:pStyle w:val="ConsPlusNonformat"/>
              <w:jc w:val="both"/>
            </w:pPr>
            <w:r>
              <w:rPr>
                <w:sz w:val="16"/>
              </w:rPr>
              <w:t xml:space="preserve">на электрическую энергию         </w:t>
            </w:r>
          </w:p>
        </w:tc>
        <w:tc>
          <w:tcPr>
            <w:tcW w:w="1152" w:type="dxa"/>
            <w:vMerge w:val="restart"/>
            <w:tcBorders>
              <w:top w:val="nil"/>
            </w:tcBorders>
          </w:tcPr>
          <w:p w:rsidR="00A41090" w:rsidRDefault="00A41090">
            <w:pPr>
              <w:pStyle w:val="ConsPlusNonformat"/>
              <w:jc w:val="both"/>
            </w:pPr>
            <w:r>
              <w:rPr>
                <w:sz w:val="16"/>
              </w:rPr>
              <w:t xml:space="preserve">    %     </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  106,2   </w:t>
            </w:r>
          </w:p>
        </w:tc>
        <w:tc>
          <w:tcPr>
            <w:tcW w:w="1056" w:type="dxa"/>
            <w:vMerge w:val="restart"/>
            <w:tcBorders>
              <w:top w:val="nil"/>
            </w:tcBorders>
          </w:tcPr>
          <w:p w:rsidR="00A41090" w:rsidRDefault="00A41090">
            <w:pPr>
              <w:pStyle w:val="ConsPlusNonformat"/>
              <w:jc w:val="both"/>
            </w:pPr>
            <w:r>
              <w:rPr>
                <w:sz w:val="16"/>
              </w:rPr>
              <w:t xml:space="preserve">  107,2  </w:t>
            </w:r>
          </w:p>
        </w:tc>
        <w:tc>
          <w:tcPr>
            <w:tcW w:w="1152" w:type="dxa"/>
            <w:tcBorders>
              <w:top w:val="nil"/>
            </w:tcBorders>
          </w:tcPr>
          <w:p w:rsidR="00A41090" w:rsidRDefault="00A41090">
            <w:pPr>
              <w:pStyle w:val="ConsPlusNonformat"/>
              <w:jc w:val="both"/>
            </w:pPr>
            <w:r>
              <w:rPr>
                <w:sz w:val="16"/>
              </w:rPr>
              <w:t xml:space="preserve">  107,6   </w:t>
            </w:r>
          </w:p>
        </w:tc>
        <w:tc>
          <w:tcPr>
            <w:tcW w:w="1344" w:type="dxa"/>
            <w:tcBorders>
              <w:top w:val="nil"/>
            </w:tcBorders>
          </w:tcPr>
          <w:p w:rsidR="00A41090" w:rsidRDefault="00A41090">
            <w:pPr>
              <w:pStyle w:val="ConsPlusNonformat"/>
              <w:jc w:val="both"/>
            </w:pPr>
            <w:r>
              <w:rPr>
                <w:sz w:val="16"/>
              </w:rPr>
              <w:t xml:space="preserve">   107,0    </w:t>
            </w:r>
          </w:p>
        </w:tc>
        <w:tc>
          <w:tcPr>
            <w:tcW w:w="1344" w:type="dxa"/>
            <w:tcBorders>
              <w:top w:val="nil"/>
            </w:tcBorders>
          </w:tcPr>
          <w:p w:rsidR="00A41090" w:rsidRDefault="00A41090">
            <w:pPr>
              <w:pStyle w:val="ConsPlusNonformat"/>
              <w:jc w:val="both"/>
            </w:pPr>
            <w:r>
              <w:rPr>
                <w:sz w:val="16"/>
              </w:rPr>
              <w:t xml:space="preserve">   105,3    </w:t>
            </w:r>
          </w:p>
        </w:tc>
        <w:tc>
          <w:tcPr>
            <w:tcW w:w="1248" w:type="dxa"/>
            <w:tcBorders>
              <w:top w:val="nil"/>
            </w:tcBorders>
          </w:tcPr>
          <w:p w:rsidR="00A41090" w:rsidRDefault="00A41090">
            <w:pPr>
              <w:pStyle w:val="ConsPlusNonformat"/>
              <w:jc w:val="both"/>
            </w:pPr>
            <w:r>
              <w:rPr>
                <w:sz w:val="16"/>
              </w:rPr>
              <w:t xml:space="preserve">   105,1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152" w:type="dxa"/>
            <w:tcBorders>
              <w:top w:val="nil"/>
            </w:tcBorders>
          </w:tcPr>
          <w:p w:rsidR="00A41090" w:rsidRDefault="00A41090">
            <w:pPr>
              <w:pStyle w:val="ConsPlusNonformat"/>
              <w:jc w:val="both"/>
            </w:pPr>
            <w:r>
              <w:rPr>
                <w:sz w:val="16"/>
              </w:rPr>
              <w:t xml:space="preserve">  107,6   </w:t>
            </w:r>
          </w:p>
        </w:tc>
        <w:tc>
          <w:tcPr>
            <w:tcW w:w="1344" w:type="dxa"/>
            <w:tcBorders>
              <w:top w:val="nil"/>
            </w:tcBorders>
          </w:tcPr>
          <w:p w:rsidR="00A41090" w:rsidRDefault="00A41090">
            <w:pPr>
              <w:pStyle w:val="ConsPlusNonformat"/>
              <w:jc w:val="both"/>
            </w:pPr>
            <w:r>
              <w:rPr>
                <w:sz w:val="16"/>
              </w:rPr>
              <w:t xml:space="preserve">   107,0    </w:t>
            </w:r>
          </w:p>
        </w:tc>
        <w:tc>
          <w:tcPr>
            <w:tcW w:w="1344" w:type="dxa"/>
            <w:tcBorders>
              <w:top w:val="nil"/>
            </w:tcBorders>
          </w:tcPr>
          <w:p w:rsidR="00A41090" w:rsidRDefault="00A41090">
            <w:pPr>
              <w:pStyle w:val="ConsPlusNonformat"/>
              <w:jc w:val="both"/>
            </w:pPr>
            <w:r>
              <w:rPr>
                <w:sz w:val="16"/>
              </w:rPr>
              <w:t xml:space="preserve">   105,3    </w:t>
            </w:r>
          </w:p>
        </w:tc>
        <w:tc>
          <w:tcPr>
            <w:tcW w:w="1248" w:type="dxa"/>
            <w:tcBorders>
              <w:top w:val="nil"/>
            </w:tcBorders>
          </w:tcPr>
          <w:p w:rsidR="00A41090" w:rsidRDefault="00A41090">
            <w:pPr>
              <w:pStyle w:val="ConsPlusNonformat"/>
              <w:jc w:val="both"/>
            </w:pPr>
            <w:r>
              <w:rPr>
                <w:sz w:val="16"/>
              </w:rPr>
              <w:t xml:space="preserve">   105,1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152" w:type="dxa"/>
            <w:tcBorders>
              <w:top w:val="nil"/>
            </w:tcBorders>
          </w:tcPr>
          <w:p w:rsidR="00A41090" w:rsidRDefault="00A41090">
            <w:pPr>
              <w:pStyle w:val="ConsPlusNonformat"/>
              <w:jc w:val="both"/>
            </w:pPr>
            <w:r>
              <w:rPr>
                <w:sz w:val="16"/>
              </w:rPr>
              <w:t xml:space="preserve">  108,1   </w:t>
            </w:r>
          </w:p>
        </w:tc>
        <w:tc>
          <w:tcPr>
            <w:tcW w:w="1344" w:type="dxa"/>
            <w:tcBorders>
              <w:top w:val="nil"/>
            </w:tcBorders>
          </w:tcPr>
          <w:p w:rsidR="00A41090" w:rsidRDefault="00A41090">
            <w:pPr>
              <w:pStyle w:val="ConsPlusNonformat"/>
              <w:jc w:val="both"/>
            </w:pPr>
            <w:r>
              <w:rPr>
                <w:sz w:val="16"/>
              </w:rPr>
              <w:t xml:space="preserve">   107,2    </w:t>
            </w:r>
          </w:p>
        </w:tc>
        <w:tc>
          <w:tcPr>
            <w:tcW w:w="1344" w:type="dxa"/>
            <w:tcBorders>
              <w:top w:val="nil"/>
            </w:tcBorders>
          </w:tcPr>
          <w:p w:rsidR="00A41090" w:rsidRDefault="00A41090">
            <w:pPr>
              <w:pStyle w:val="ConsPlusNonformat"/>
              <w:jc w:val="both"/>
            </w:pPr>
            <w:r>
              <w:rPr>
                <w:sz w:val="16"/>
              </w:rPr>
              <w:t xml:space="preserve">   105,9    </w:t>
            </w:r>
          </w:p>
        </w:tc>
        <w:tc>
          <w:tcPr>
            <w:tcW w:w="1248" w:type="dxa"/>
            <w:tcBorders>
              <w:top w:val="nil"/>
            </w:tcBorders>
          </w:tcPr>
          <w:p w:rsidR="00A41090" w:rsidRDefault="00A41090">
            <w:pPr>
              <w:pStyle w:val="ConsPlusNonformat"/>
              <w:jc w:val="both"/>
            </w:pPr>
            <w:r>
              <w:rPr>
                <w:sz w:val="16"/>
              </w:rPr>
              <w:t xml:space="preserve">   105,7   </w:t>
            </w:r>
          </w:p>
        </w:tc>
      </w:tr>
      <w:tr w:rsidR="00A41090">
        <w:trPr>
          <w:trHeight w:val="160"/>
        </w:trPr>
        <w:tc>
          <w:tcPr>
            <w:tcW w:w="960" w:type="dxa"/>
            <w:vMerge w:val="restart"/>
            <w:tcBorders>
              <w:top w:val="nil"/>
            </w:tcBorders>
          </w:tcPr>
          <w:p w:rsidR="00A41090" w:rsidRDefault="00A41090">
            <w:pPr>
              <w:pStyle w:val="ConsPlusNonformat"/>
              <w:jc w:val="both"/>
            </w:pPr>
            <w:r>
              <w:rPr>
                <w:sz w:val="16"/>
              </w:rPr>
              <w:t xml:space="preserve">  7.4   </w:t>
            </w:r>
          </w:p>
        </w:tc>
        <w:tc>
          <w:tcPr>
            <w:tcW w:w="3360" w:type="dxa"/>
            <w:vMerge w:val="restart"/>
            <w:tcBorders>
              <w:top w:val="nil"/>
            </w:tcBorders>
          </w:tcPr>
          <w:p w:rsidR="00A41090" w:rsidRDefault="00A41090">
            <w:pPr>
              <w:pStyle w:val="ConsPlusNonformat"/>
              <w:jc w:val="both"/>
            </w:pPr>
            <w:r>
              <w:rPr>
                <w:sz w:val="16"/>
              </w:rPr>
              <w:t xml:space="preserve">Цены на нефть </w:t>
            </w:r>
            <w:proofErr w:type="spellStart"/>
            <w:r>
              <w:rPr>
                <w:sz w:val="16"/>
              </w:rPr>
              <w:t>Urals</w:t>
            </w:r>
            <w:proofErr w:type="spellEnd"/>
            <w:r>
              <w:rPr>
                <w:sz w:val="16"/>
              </w:rPr>
              <w:t xml:space="preserve"> (мировые)    </w:t>
            </w:r>
          </w:p>
        </w:tc>
        <w:tc>
          <w:tcPr>
            <w:tcW w:w="1152" w:type="dxa"/>
            <w:vMerge w:val="restart"/>
            <w:tcBorders>
              <w:top w:val="nil"/>
            </w:tcBorders>
          </w:tcPr>
          <w:p w:rsidR="00A41090" w:rsidRDefault="00A41090">
            <w:pPr>
              <w:pStyle w:val="ConsPlusNonformat"/>
              <w:jc w:val="both"/>
            </w:pPr>
            <w:r>
              <w:rPr>
                <w:sz w:val="16"/>
              </w:rPr>
              <w:t xml:space="preserve">  доллар  </w:t>
            </w:r>
          </w:p>
          <w:p w:rsidR="00A41090" w:rsidRDefault="00A41090">
            <w:pPr>
              <w:pStyle w:val="ConsPlusNonformat"/>
              <w:jc w:val="both"/>
            </w:pPr>
            <w:r>
              <w:rPr>
                <w:sz w:val="16"/>
              </w:rPr>
              <w:t xml:space="preserve">  США/    </w:t>
            </w:r>
          </w:p>
          <w:p w:rsidR="00A41090" w:rsidRDefault="00A41090">
            <w:pPr>
              <w:pStyle w:val="ConsPlusNonformat"/>
              <w:jc w:val="both"/>
            </w:pPr>
            <w:r>
              <w:rPr>
                <w:sz w:val="16"/>
              </w:rPr>
              <w:t xml:space="preserve"> баррель  </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   97,6   </w:t>
            </w:r>
          </w:p>
        </w:tc>
        <w:tc>
          <w:tcPr>
            <w:tcW w:w="1056" w:type="dxa"/>
            <w:vMerge w:val="restart"/>
            <w:tcBorders>
              <w:top w:val="nil"/>
            </w:tcBorders>
          </w:tcPr>
          <w:p w:rsidR="00A41090" w:rsidRDefault="00A41090">
            <w:pPr>
              <w:pStyle w:val="ConsPlusNonformat"/>
              <w:jc w:val="both"/>
            </w:pPr>
            <w:r>
              <w:rPr>
                <w:sz w:val="16"/>
              </w:rPr>
              <w:t xml:space="preserve">  51,2   </w:t>
            </w:r>
          </w:p>
        </w:tc>
        <w:tc>
          <w:tcPr>
            <w:tcW w:w="1152" w:type="dxa"/>
            <w:tcBorders>
              <w:top w:val="nil"/>
            </w:tcBorders>
          </w:tcPr>
          <w:p w:rsidR="00A41090" w:rsidRDefault="00A41090">
            <w:pPr>
              <w:pStyle w:val="ConsPlusNonformat"/>
              <w:jc w:val="both"/>
            </w:pPr>
            <w:r>
              <w:rPr>
                <w:sz w:val="16"/>
              </w:rPr>
              <w:t xml:space="preserve">   40,0   </w:t>
            </w:r>
          </w:p>
        </w:tc>
        <w:tc>
          <w:tcPr>
            <w:tcW w:w="1344" w:type="dxa"/>
            <w:tcBorders>
              <w:top w:val="nil"/>
            </w:tcBorders>
          </w:tcPr>
          <w:p w:rsidR="00A41090" w:rsidRDefault="00A41090">
            <w:pPr>
              <w:pStyle w:val="ConsPlusNonformat"/>
              <w:jc w:val="both"/>
            </w:pPr>
            <w:r>
              <w:rPr>
                <w:sz w:val="16"/>
              </w:rPr>
              <w:t xml:space="preserve">    40,0    </w:t>
            </w:r>
          </w:p>
        </w:tc>
        <w:tc>
          <w:tcPr>
            <w:tcW w:w="1344" w:type="dxa"/>
            <w:tcBorders>
              <w:top w:val="nil"/>
            </w:tcBorders>
          </w:tcPr>
          <w:p w:rsidR="00A41090" w:rsidRDefault="00A41090">
            <w:pPr>
              <w:pStyle w:val="ConsPlusNonformat"/>
              <w:jc w:val="both"/>
            </w:pPr>
            <w:r>
              <w:rPr>
                <w:sz w:val="16"/>
              </w:rPr>
              <w:t xml:space="preserve">    40,0    </w:t>
            </w:r>
          </w:p>
        </w:tc>
        <w:tc>
          <w:tcPr>
            <w:tcW w:w="1248" w:type="dxa"/>
            <w:tcBorders>
              <w:top w:val="nil"/>
            </w:tcBorders>
          </w:tcPr>
          <w:p w:rsidR="00A41090" w:rsidRDefault="00A41090">
            <w:pPr>
              <w:pStyle w:val="ConsPlusNonformat"/>
              <w:jc w:val="both"/>
            </w:pPr>
            <w:r>
              <w:rPr>
                <w:sz w:val="16"/>
              </w:rPr>
              <w:t xml:space="preserve">   40,0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152" w:type="dxa"/>
            <w:tcBorders>
              <w:top w:val="nil"/>
            </w:tcBorders>
          </w:tcPr>
          <w:p w:rsidR="00A41090" w:rsidRDefault="00A41090">
            <w:pPr>
              <w:pStyle w:val="ConsPlusNonformat"/>
              <w:jc w:val="both"/>
            </w:pPr>
            <w:r>
              <w:rPr>
                <w:sz w:val="16"/>
              </w:rPr>
              <w:t xml:space="preserve">   40,0   </w:t>
            </w:r>
          </w:p>
        </w:tc>
        <w:tc>
          <w:tcPr>
            <w:tcW w:w="1344" w:type="dxa"/>
            <w:tcBorders>
              <w:top w:val="nil"/>
            </w:tcBorders>
          </w:tcPr>
          <w:p w:rsidR="00A41090" w:rsidRDefault="00A41090">
            <w:pPr>
              <w:pStyle w:val="ConsPlusNonformat"/>
              <w:jc w:val="both"/>
            </w:pPr>
            <w:r>
              <w:rPr>
                <w:sz w:val="16"/>
              </w:rPr>
              <w:t xml:space="preserve">    40,0    </w:t>
            </w:r>
          </w:p>
        </w:tc>
        <w:tc>
          <w:tcPr>
            <w:tcW w:w="1344" w:type="dxa"/>
            <w:tcBorders>
              <w:top w:val="nil"/>
            </w:tcBorders>
          </w:tcPr>
          <w:p w:rsidR="00A41090" w:rsidRDefault="00A41090">
            <w:pPr>
              <w:pStyle w:val="ConsPlusNonformat"/>
              <w:jc w:val="both"/>
            </w:pPr>
            <w:r>
              <w:rPr>
                <w:sz w:val="16"/>
              </w:rPr>
              <w:t xml:space="preserve">    40,0    </w:t>
            </w:r>
          </w:p>
        </w:tc>
        <w:tc>
          <w:tcPr>
            <w:tcW w:w="1248" w:type="dxa"/>
            <w:tcBorders>
              <w:top w:val="nil"/>
            </w:tcBorders>
          </w:tcPr>
          <w:p w:rsidR="00A41090" w:rsidRDefault="00A41090">
            <w:pPr>
              <w:pStyle w:val="ConsPlusNonformat"/>
              <w:jc w:val="both"/>
            </w:pPr>
            <w:r>
              <w:rPr>
                <w:sz w:val="16"/>
              </w:rPr>
              <w:t xml:space="preserve">   40,0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152" w:type="dxa"/>
            <w:tcBorders>
              <w:top w:val="nil"/>
            </w:tcBorders>
          </w:tcPr>
          <w:p w:rsidR="00A41090" w:rsidRDefault="00A41090">
            <w:pPr>
              <w:pStyle w:val="ConsPlusNonformat"/>
              <w:jc w:val="both"/>
            </w:pPr>
            <w:r>
              <w:rPr>
                <w:sz w:val="16"/>
              </w:rPr>
              <w:t xml:space="preserve">   25,0   </w:t>
            </w:r>
          </w:p>
        </w:tc>
        <w:tc>
          <w:tcPr>
            <w:tcW w:w="1344" w:type="dxa"/>
            <w:tcBorders>
              <w:top w:val="nil"/>
            </w:tcBorders>
          </w:tcPr>
          <w:p w:rsidR="00A41090" w:rsidRDefault="00A41090">
            <w:pPr>
              <w:pStyle w:val="ConsPlusNonformat"/>
              <w:jc w:val="both"/>
            </w:pPr>
            <w:r>
              <w:rPr>
                <w:sz w:val="16"/>
              </w:rPr>
              <w:t xml:space="preserve">    25,0    </w:t>
            </w:r>
          </w:p>
        </w:tc>
        <w:tc>
          <w:tcPr>
            <w:tcW w:w="1344" w:type="dxa"/>
            <w:tcBorders>
              <w:top w:val="nil"/>
            </w:tcBorders>
          </w:tcPr>
          <w:p w:rsidR="00A41090" w:rsidRDefault="00A41090">
            <w:pPr>
              <w:pStyle w:val="ConsPlusNonformat"/>
              <w:jc w:val="both"/>
            </w:pPr>
            <w:r>
              <w:rPr>
                <w:sz w:val="16"/>
              </w:rPr>
              <w:t xml:space="preserve">    25,0    </w:t>
            </w:r>
          </w:p>
        </w:tc>
        <w:tc>
          <w:tcPr>
            <w:tcW w:w="1248" w:type="dxa"/>
            <w:tcBorders>
              <w:top w:val="nil"/>
            </w:tcBorders>
          </w:tcPr>
          <w:p w:rsidR="00A41090" w:rsidRDefault="00A41090">
            <w:pPr>
              <w:pStyle w:val="ConsPlusNonformat"/>
              <w:jc w:val="both"/>
            </w:pPr>
            <w:r>
              <w:rPr>
                <w:sz w:val="16"/>
              </w:rPr>
              <w:t xml:space="preserve">   25,0    </w:t>
            </w:r>
          </w:p>
        </w:tc>
      </w:tr>
      <w:tr w:rsidR="00A41090">
        <w:trPr>
          <w:trHeight w:val="160"/>
        </w:trPr>
        <w:tc>
          <w:tcPr>
            <w:tcW w:w="960" w:type="dxa"/>
            <w:vMerge w:val="restart"/>
            <w:tcBorders>
              <w:top w:val="nil"/>
            </w:tcBorders>
          </w:tcPr>
          <w:p w:rsidR="00A41090" w:rsidRDefault="00A41090">
            <w:pPr>
              <w:pStyle w:val="ConsPlusNonformat"/>
              <w:jc w:val="both"/>
            </w:pPr>
            <w:r>
              <w:rPr>
                <w:sz w:val="16"/>
              </w:rPr>
              <w:t xml:space="preserve">  7.5   </w:t>
            </w:r>
          </w:p>
        </w:tc>
        <w:tc>
          <w:tcPr>
            <w:tcW w:w="3360" w:type="dxa"/>
            <w:vMerge w:val="restart"/>
            <w:tcBorders>
              <w:top w:val="nil"/>
            </w:tcBorders>
          </w:tcPr>
          <w:p w:rsidR="00A41090" w:rsidRDefault="00A41090">
            <w:pPr>
              <w:pStyle w:val="ConsPlusNonformat"/>
              <w:jc w:val="both"/>
            </w:pPr>
            <w:r>
              <w:rPr>
                <w:sz w:val="16"/>
              </w:rPr>
              <w:t xml:space="preserve">Курс доллара (среднегодовой)     </w:t>
            </w:r>
          </w:p>
        </w:tc>
        <w:tc>
          <w:tcPr>
            <w:tcW w:w="1152" w:type="dxa"/>
            <w:vMerge w:val="restart"/>
            <w:tcBorders>
              <w:top w:val="nil"/>
            </w:tcBorders>
          </w:tcPr>
          <w:p w:rsidR="00A41090" w:rsidRDefault="00A41090">
            <w:pPr>
              <w:pStyle w:val="ConsPlusNonformat"/>
              <w:jc w:val="both"/>
            </w:pPr>
            <w:r>
              <w:rPr>
                <w:sz w:val="16"/>
              </w:rPr>
              <w:t xml:space="preserve">рублей </w:t>
            </w:r>
            <w:proofErr w:type="gramStart"/>
            <w:r>
              <w:rPr>
                <w:sz w:val="16"/>
              </w:rPr>
              <w:t>за</w:t>
            </w:r>
            <w:proofErr w:type="gramEnd"/>
            <w:r>
              <w:rPr>
                <w:sz w:val="16"/>
              </w:rPr>
              <w:t xml:space="preserve"> </w:t>
            </w:r>
          </w:p>
          <w:p w:rsidR="00A41090" w:rsidRDefault="00A41090">
            <w:pPr>
              <w:pStyle w:val="ConsPlusNonformat"/>
              <w:jc w:val="both"/>
            </w:pPr>
            <w:r>
              <w:rPr>
                <w:sz w:val="16"/>
              </w:rPr>
              <w:t>доллар США</w:t>
            </w:r>
          </w:p>
        </w:tc>
        <w:tc>
          <w:tcPr>
            <w:tcW w:w="1248" w:type="dxa"/>
            <w:tcBorders>
              <w:top w:val="nil"/>
            </w:tcBorders>
          </w:tcPr>
          <w:p w:rsidR="00A41090" w:rsidRDefault="00A41090">
            <w:pPr>
              <w:pStyle w:val="ConsPlusNonformat"/>
              <w:jc w:val="both"/>
            </w:pPr>
            <w:r>
              <w:rPr>
                <w:sz w:val="16"/>
              </w:rPr>
              <w:t xml:space="preserve">   опт.    </w:t>
            </w:r>
          </w:p>
        </w:tc>
        <w:tc>
          <w:tcPr>
            <w:tcW w:w="1152" w:type="dxa"/>
            <w:vMerge w:val="restart"/>
            <w:tcBorders>
              <w:top w:val="nil"/>
            </w:tcBorders>
          </w:tcPr>
          <w:p w:rsidR="00A41090" w:rsidRDefault="00A41090">
            <w:pPr>
              <w:pStyle w:val="ConsPlusNonformat"/>
              <w:jc w:val="both"/>
            </w:pPr>
            <w:r>
              <w:rPr>
                <w:sz w:val="16"/>
              </w:rPr>
              <w:t xml:space="preserve">   38,4   </w:t>
            </w:r>
          </w:p>
        </w:tc>
        <w:tc>
          <w:tcPr>
            <w:tcW w:w="1056" w:type="dxa"/>
            <w:vMerge w:val="restart"/>
            <w:tcBorders>
              <w:top w:val="nil"/>
            </w:tcBorders>
          </w:tcPr>
          <w:p w:rsidR="00A41090" w:rsidRDefault="00A41090">
            <w:pPr>
              <w:pStyle w:val="ConsPlusNonformat"/>
              <w:jc w:val="both"/>
            </w:pPr>
            <w:r>
              <w:rPr>
                <w:sz w:val="16"/>
              </w:rPr>
              <w:t xml:space="preserve">  61,0   </w:t>
            </w:r>
          </w:p>
        </w:tc>
        <w:tc>
          <w:tcPr>
            <w:tcW w:w="1152" w:type="dxa"/>
            <w:tcBorders>
              <w:top w:val="nil"/>
            </w:tcBorders>
          </w:tcPr>
          <w:p w:rsidR="00A41090" w:rsidRDefault="00A41090">
            <w:pPr>
              <w:pStyle w:val="ConsPlusNonformat"/>
              <w:jc w:val="both"/>
            </w:pPr>
            <w:r>
              <w:rPr>
                <w:sz w:val="16"/>
              </w:rPr>
              <w:t xml:space="preserve">   67,2   </w:t>
            </w:r>
          </w:p>
        </w:tc>
        <w:tc>
          <w:tcPr>
            <w:tcW w:w="1344" w:type="dxa"/>
            <w:tcBorders>
              <w:top w:val="nil"/>
            </w:tcBorders>
          </w:tcPr>
          <w:p w:rsidR="00A41090" w:rsidRDefault="00A41090">
            <w:pPr>
              <w:pStyle w:val="ConsPlusNonformat"/>
              <w:jc w:val="both"/>
            </w:pPr>
            <w:r>
              <w:rPr>
                <w:sz w:val="16"/>
              </w:rPr>
              <w:t xml:space="preserve">    63,6    </w:t>
            </w:r>
          </w:p>
        </w:tc>
        <w:tc>
          <w:tcPr>
            <w:tcW w:w="1344" w:type="dxa"/>
            <w:tcBorders>
              <w:top w:val="nil"/>
            </w:tcBorders>
          </w:tcPr>
          <w:p w:rsidR="00A41090" w:rsidRDefault="00A41090">
            <w:pPr>
              <w:pStyle w:val="ConsPlusNonformat"/>
              <w:jc w:val="both"/>
            </w:pPr>
            <w:r>
              <w:rPr>
                <w:sz w:val="16"/>
              </w:rPr>
              <w:t xml:space="preserve">    61,1    </w:t>
            </w:r>
          </w:p>
        </w:tc>
        <w:tc>
          <w:tcPr>
            <w:tcW w:w="1248" w:type="dxa"/>
            <w:tcBorders>
              <w:top w:val="nil"/>
            </w:tcBorders>
          </w:tcPr>
          <w:p w:rsidR="00A41090" w:rsidRDefault="00A41090">
            <w:pPr>
              <w:pStyle w:val="ConsPlusNonformat"/>
              <w:jc w:val="both"/>
            </w:pPr>
            <w:r>
              <w:rPr>
                <w:sz w:val="16"/>
              </w:rPr>
              <w:t xml:space="preserve">   58,3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баз.    </w:t>
            </w:r>
          </w:p>
        </w:tc>
        <w:tc>
          <w:tcPr>
            <w:tcW w:w="1056" w:type="dxa"/>
            <w:vMerge/>
            <w:tcBorders>
              <w:top w:val="nil"/>
            </w:tcBorders>
          </w:tcPr>
          <w:p w:rsidR="00A41090" w:rsidRDefault="00A41090"/>
        </w:tc>
        <w:tc>
          <w:tcPr>
            <w:tcW w:w="960" w:type="dxa"/>
            <w:vMerge/>
            <w:tcBorders>
              <w:top w:val="nil"/>
            </w:tcBorders>
          </w:tcPr>
          <w:p w:rsidR="00A41090" w:rsidRDefault="00A41090"/>
        </w:tc>
        <w:tc>
          <w:tcPr>
            <w:tcW w:w="1152" w:type="dxa"/>
            <w:tcBorders>
              <w:top w:val="nil"/>
            </w:tcBorders>
          </w:tcPr>
          <w:p w:rsidR="00A41090" w:rsidRDefault="00A41090">
            <w:pPr>
              <w:pStyle w:val="ConsPlusNonformat"/>
              <w:jc w:val="both"/>
            </w:pPr>
            <w:r>
              <w:rPr>
                <w:sz w:val="16"/>
              </w:rPr>
              <w:t xml:space="preserve">   67,2   </w:t>
            </w:r>
          </w:p>
        </w:tc>
        <w:tc>
          <w:tcPr>
            <w:tcW w:w="1344" w:type="dxa"/>
            <w:tcBorders>
              <w:top w:val="nil"/>
            </w:tcBorders>
          </w:tcPr>
          <w:p w:rsidR="00A41090" w:rsidRDefault="00A41090">
            <w:pPr>
              <w:pStyle w:val="ConsPlusNonformat"/>
              <w:jc w:val="both"/>
            </w:pPr>
            <w:r>
              <w:rPr>
                <w:sz w:val="16"/>
              </w:rPr>
              <w:t xml:space="preserve">    64,8    </w:t>
            </w:r>
          </w:p>
        </w:tc>
        <w:tc>
          <w:tcPr>
            <w:tcW w:w="1344" w:type="dxa"/>
            <w:tcBorders>
              <w:top w:val="nil"/>
            </w:tcBorders>
          </w:tcPr>
          <w:p w:rsidR="00A41090" w:rsidRDefault="00A41090">
            <w:pPr>
              <w:pStyle w:val="ConsPlusNonformat"/>
              <w:jc w:val="both"/>
            </w:pPr>
            <w:r>
              <w:rPr>
                <w:sz w:val="16"/>
              </w:rPr>
              <w:t xml:space="preserve">    64,1    </w:t>
            </w:r>
          </w:p>
        </w:tc>
        <w:tc>
          <w:tcPr>
            <w:tcW w:w="1248" w:type="dxa"/>
            <w:tcBorders>
              <w:top w:val="nil"/>
            </w:tcBorders>
          </w:tcPr>
          <w:p w:rsidR="00A41090" w:rsidRDefault="00A41090">
            <w:pPr>
              <w:pStyle w:val="ConsPlusNonformat"/>
              <w:jc w:val="both"/>
            </w:pPr>
            <w:r>
              <w:rPr>
                <w:sz w:val="16"/>
              </w:rPr>
              <w:t xml:space="preserve">   62,7    </w:t>
            </w:r>
          </w:p>
        </w:tc>
      </w:tr>
      <w:tr w:rsidR="00A41090">
        <w:tc>
          <w:tcPr>
            <w:tcW w:w="864" w:type="dxa"/>
            <w:vMerge/>
            <w:tcBorders>
              <w:top w:val="nil"/>
            </w:tcBorders>
          </w:tcPr>
          <w:p w:rsidR="00A41090" w:rsidRDefault="00A41090"/>
        </w:tc>
        <w:tc>
          <w:tcPr>
            <w:tcW w:w="3264" w:type="dxa"/>
            <w:vMerge/>
            <w:tcBorders>
              <w:top w:val="nil"/>
            </w:tcBorders>
          </w:tcPr>
          <w:p w:rsidR="00A41090" w:rsidRDefault="00A41090"/>
        </w:tc>
        <w:tc>
          <w:tcPr>
            <w:tcW w:w="1056" w:type="dxa"/>
            <w:vMerge/>
            <w:tcBorders>
              <w:top w:val="nil"/>
            </w:tcBorders>
          </w:tcPr>
          <w:p w:rsidR="00A41090" w:rsidRDefault="00A41090"/>
        </w:tc>
        <w:tc>
          <w:tcPr>
            <w:tcW w:w="1248" w:type="dxa"/>
            <w:tcBorders>
              <w:top w:val="nil"/>
            </w:tcBorders>
          </w:tcPr>
          <w:p w:rsidR="00A41090" w:rsidRDefault="00A41090">
            <w:pPr>
              <w:pStyle w:val="ConsPlusNonformat"/>
              <w:jc w:val="both"/>
            </w:pPr>
            <w:r>
              <w:rPr>
                <w:sz w:val="16"/>
              </w:rPr>
              <w:t xml:space="preserve">   </w:t>
            </w:r>
            <w:proofErr w:type="spellStart"/>
            <w:r>
              <w:rPr>
                <w:sz w:val="16"/>
              </w:rPr>
              <w:t>конс</w:t>
            </w:r>
            <w:proofErr w:type="spellEnd"/>
            <w:r>
              <w:rPr>
                <w:sz w:val="16"/>
              </w:rPr>
              <w:t xml:space="preserve">.   </w:t>
            </w:r>
          </w:p>
        </w:tc>
        <w:tc>
          <w:tcPr>
            <w:tcW w:w="1056" w:type="dxa"/>
            <w:vMerge/>
            <w:tcBorders>
              <w:top w:val="nil"/>
            </w:tcBorders>
          </w:tcPr>
          <w:p w:rsidR="00A41090" w:rsidRDefault="00A41090"/>
        </w:tc>
        <w:tc>
          <w:tcPr>
            <w:tcW w:w="960" w:type="dxa"/>
            <w:vMerge/>
            <w:tcBorders>
              <w:top w:val="nil"/>
            </w:tcBorders>
          </w:tcPr>
          <w:p w:rsidR="00A41090" w:rsidRDefault="00A41090"/>
        </w:tc>
        <w:tc>
          <w:tcPr>
            <w:tcW w:w="1152" w:type="dxa"/>
            <w:tcBorders>
              <w:top w:val="nil"/>
            </w:tcBorders>
          </w:tcPr>
          <w:p w:rsidR="00A41090" w:rsidRDefault="00A41090">
            <w:pPr>
              <w:pStyle w:val="ConsPlusNonformat"/>
              <w:jc w:val="both"/>
            </w:pPr>
            <w:r>
              <w:rPr>
                <w:sz w:val="16"/>
              </w:rPr>
              <w:t xml:space="preserve">   80,5   </w:t>
            </w:r>
          </w:p>
        </w:tc>
        <w:tc>
          <w:tcPr>
            <w:tcW w:w="1344" w:type="dxa"/>
            <w:tcBorders>
              <w:top w:val="nil"/>
            </w:tcBorders>
          </w:tcPr>
          <w:p w:rsidR="00A41090" w:rsidRDefault="00A41090">
            <w:pPr>
              <w:pStyle w:val="ConsPlusNonformat"/>
              <w:jc w:val="both"/>
            </w:pPr>
            <w:r>
              <w:rPr>
                <w:sz w:val="16"/>
              </w:rPr>
              <w:t xml:space="preserve">    76,0    </w:t>
            </w:r>
          </w:p>
        </w:tc>
        <w:tc>
          <w:tcPr>
            <w:tcW w:w="1344" w:type="dxa"/>
            <w:tcBorders>
              <w:top w:val="nil"/>
            </w:tcBorders>
          </w:tcPr>
          <w:p w:rsidR="00A41090" w:rsidRDefault="00A41090">
            <w:pPr>
              <w:pStyle w:val="ConsPlusNonformat"/>
              <w:jc w:val="both"/>
            </w:pPr>
            <w:r>
              <w:rPr>
                <w:sz w:val="16"/>
              </w:rPr>
              <w:t xml:space="preserve">    69,8    </w:t>
            </w:r>
          </w:p>
        </w:tc>
        <w:tc>
          <w:tcPr>
            <w:tcW w:w="1248" w:type="dxa"/>
            <w:tcBorders>
              <w:top w:val="nil"/>
            </w:tcBorders>
          </w:tcPr>
          <w:p w:rsidR="00A41090" w:rsidRDefault="00A41090">
            <w:pPr>
              <w:pStyle w:val="ConsPlusNonformat"/>
              <w:jc w:val="both"/>
            </w:pPr>
            <w:r>
              <w:rPr>
                <w:sz w:val="16"/>
              </w:rPr>
              <w:t xml:space="preserve">   68,1    </w:t>
            </w:r>
          </w:p>
        </w:tc>
      </w:tr>
      <w:tr w:rsidR="00A41090">
        <w:trPr>
          <w:trHeight w:val="160"/>
        </w:trPr>
        <w:tc>
          <w:tcPr>
            <w:tcW w:w="960" w:type="dxa"/>
            <w:tcBorders>
              <w:top w:val="nil"/>
            </w:tcBorders>
          </w:tcPr>
          <w:p w:rsidR="00A41090" w:rsidRDefault="00A41090">
            <w:pPr>
              <w:pStyle w:val="ConsPlusNonformat"/>
              <w:jc w:val="both"/>
            </w:pPr>
            <w:r>
              <w:rPr>
                <w:sz w:val="16"/>
              </w:rPr>
              <w:t xml:space="preserve">   8    </w:t>
            </w:r>
          </w:p>
        </w:tc>
        <w:tc>
          <w:tcPr>
            <w:tcW w:w="13056" w:type="dxa"/>
            <w:gridSpan w:val="9"/>
            <w:tcBorders>
              <w:top w:val="nil"/>
            </w:tcBorders>
          </w:tcPr>
          <w:p w:rsidR="00A41090" w:rsidRDefault="00A41090">
            <w:pPr>
              <w:pStyle w:val="ConsPlusNonformat"/>
              <w:jc w:val="both"/>
            </w:pPr>
            <w:r>
              <w:rPr>
                <w:sz w:val="16"/>
              </w:rPr>
              <w:t xml:space="preserve">Демография                                                                                                                    </w:t>
            </w:r>
          </w:p>
        </w:tc>
      </w:tr>
      <w:tr w:rsidR="00A41090">
        <w:trPr>
          <w:trHeight w:val="160"/>
        </w:trPr>
        <w:tc>
          <w:tcPr>
            <w:tcW w:w="960" w:type="dxa"/>
            <w:tcBorders>
              <w:top w:val="nil"/>
            </w:tcBorders>
          </w:tcPr>
          <w:p w:rsidR="00A41090" w:rsidRDefault="00A41090">
            <w:pPr>
              <w:pStyle w:val="ConsPlusNonformat"/>
              <w:jc w:val="both"/>
            </w:pPr>
            <w:r>
              <w:rPr>
                <w:sz w:val="16"/>
              </w:rPr>
              <w:t xml:space="preserve">  8.1   </w:t>
            </w:r>
          </w:p>
        </w:tc>
        <w:tc>
          <w:tcPr>
            <w:tcW w:w="3360" w:type="dxa"/>
            <w:tcBorders>
              <w:top w:val="nil"/>
            </w:tcBorders>
          </w:tcPr>
          <w:p w:rsidR="00A41090" w:rsidRDefault="00A41090">
            <w:pPr>
              <w:pStyle w:val="ConsPlusNonformat"/>
              <w:jc w:val="both"/>
            </w:pPr>
            <w:r>
              <w:rPr>
                <w:sz w:val="16"/>
              </w:rPr>
              <w:t xml:space="preserve">Численность </w:t>
            </w:r>
            <w:proofErr w:type="gramStart"/>
            <w:r>
              <w:rPr>
                <w:sz w:val="16"/>
              </w:rPr>
              <w:t>постоянного</w:t>
            </w:r>
            <w:proofErr w:type="gramEnd"/>
            <w:r>
              <w:rPr>
                <w:sz w:val="16"/>
              </w:rPr>
              <w:t xml:space="preserve">          </w:t>
            </w:r>
          </w:p>
          <w:p w:rsidR="00A41090" w:rsidRDefault="00A41090">
            <w:pPr>
              <w:pStyle w:val="ConsPlusNonformat"/>
              <w:jc w:val="both"/>
            </w:pPr>
            <w:proofErr w:type="gramStart"/>
            <w:r>
              <w:rPr>
                <w:sz w:val="16"/>
              </w:rPr>
              <w:t xml:space="preserve">населения города (на начало      </w:t>
            </w:r>
            <w:proofErr w:type="gramEnd"/>
          </w:p>
          <w:p w:rsidR="00A41090" w:rsidRDefault="00A41090">
            <w:pPr>
              <w:pStyle w:val="ConsPlusNonformat"/>
              <w:jc w:val="both"/>
            </w:pPr>
            <w:r>
              <w:rPr>
                <w:sz w:val="16"/>
              </w:rPr>
              <w:t xml:space="preserve">года)                            </w:t>
            </w:r>
          </w:p>
        </w:tc>
        <w:tc>
          <w:tcPr>
            <w:tcW w:w="1152" w:type="dxa"/>
            <w:tcBorders>
              <w:top w:val="nil"/>
            </w:tcBorders>
          </w:tcPr>
          <w:p w:rsidR="00A41090" w:rsidRDefault="00A41090">
            <w:pPr>
              <w:pStyle w:val="ConsPlusNonformat"/>
              <w:jc w:val="both"/>
            </w:pPr>
            <w:r>
              <w:rPr>
                <w:sz w:val="16"/>
              </w:rPr>
              <w:t xml:space="preserve"> тыс</w:t>
            </w:r>
            <w:proofErr w:type="gramStart"/>
            <w:r>
              <w:rPr>
                <w:sz w:val="16"/>
              </w:rPr>
              <w:t>.ч</w:t>
            </w:r>
            <w:proofErr w:type="gramEnd"/>
            <w:r>
              <w:rPr>
                <w:sz w:val="16"/>
              </w:rPr>
              <w:t xml:space="preserve">ел. </w:t>
            </w:r>
          </w:p>
        </w:tc>
        <w:tc>
          <w:tcPr>
            <w:tcW w:w="1248" w:type="dxa"/>
            <w:tcBorders>
              <w:top w:val="nil"/>
            </w:tcBorders>
          </w:tcPr>
          <w:p w:rsidR="00A41090" w:rsidRDefault="00A41090">
            <w:pPr>
              <w:pStyle w:val="ConsPlusNonformat"/>
              <w:jc w:val="both"/>
            </w:pPr>
          </w:p>
        </w:tc>
        <w:tc>
          <w:tcPr>
            <w:tcW w:w="1152" w:type="dxa"/>
            <w:tcBorders>
              <w:top w:val="nil"/>
            </w:tcBorders>
          </w:tcPr>
          <w:p w:rsidR="00A41090" w:rsidRDefault="00A41090">
            <w:pPr>
              <w:pStyle w:val="ConsPlusNonformat"/>
              <w:jc w:val="both"/>
            </w:pPr>
            <w:r>
              <w:rPr>
                <w:sz w:val="16"/>
              </w:rPr>
              <w:t xml:space="preserve"> 1026,48  </w:t>
            </w:r>
          </w:p>
        </w:tc>
        <w:tc>
          <w:tcPr>
            <w:tcW w:w="1056" w:type="dxa"/>
            <w:tcBorders>
              <w:top w:val="nil"/>
            </w:tcBorders>
          </w:tcPr>
          <w:p w:rsidR="00A41090" w:rsidRDefault="00A41090">
            <w:pPr>
              <w:pStyle w:val="ConsPlusNonformat"/>
              <w:jc w:val="both"/>
            </w:pPr>
            <w:r>
              <w:rPr>
                <w:sz w:val="16"/>
              </w:rPr>
              <w:t xml:space="preserve"> 1036,48 </w:t>
            </w:r>
          </w:p>
        </w:tc>
        <w:tc>
          <w:tcPr>
            <w:tcW w:w="1152" w:type="dxa"/>
            <w:tcBorders>
              <w:top w:val="nil"/>
            </w:tcBorders>
          </w:tcPr>
          <w:p w:rsidR="00A41090" w:rsidRDefault="00A41090">
            <w:pPr>
              <w:pStyle w:val="ConsPlusNonformat"/>
              <w:jc w:val="both"/>
            </w:pPr>
            <w:r>
              <w:rPr>
                <w:sz w:val="16"/>
              </w:rPr>
              <w:t xml:space="preserve"> 1041,88  </w:t>
            </w:r>
          </w:p>
        </w:tc>
        <w:tc>
          <w:tcPr>
            <w:tcW w:w="1344" w:type="dxa"/>
            <w:tcBorders>
              <w:top w:val="nil"/>
            </w:tcBorders>
          </w:tcPr>
          <w:p w:rsidR="00A41090" w:rsidRDefault="00A41090">
            <w:pPr>
              <w:pStyle w:val="ConsPlusNonformat"/>
              <w:jc w:val="both"/>
            </w:pPr>
            <w:r>
              <w:rPr>
                <w:sz w:val="16"/>
              </w:rPr>
              <w:t xml:space="preserve">  1046,28   </w:t>
            </w:r>
          </w:p>
        </w:tc>
        <w:tc>
          <w:tcPr>
            <w:tcW w:w="1344" w:type="dxa"/>
            <w:tcBorders>
              <w:top w:val="nil"/>
            </w:tcBorders>
          </w:tcPr>
          <w:p w:rsidR="00A41090" w:rsidRDefault="00A41090">
            <w:pPr>
              <w:pStyle w:val="ConsPlusNonformat"/>
              <w:jc w:val="both"/>
            </w:pPr>
            <w:r>
              <w:rPr>
                <w:sz w:val="16"/>
              </w:rPr>
              <w:t xml:space="preserve">  1051,03   </w:t>
            </w:r>
          </w:p>
        </w:tc>
        <w:tc>
          <w:tcPr>
            <w:tcW w:w="1248" w:type="dxa"/>
            <w:tcBorders>
              <w:top w:val="nil"/>
            </w:tcBorders>
          </w:tcPr>
          <w:p w:rsidR="00A41090" w:rsidRDefault="00A41090">
            <w:pPr>
              <w:pStyle w:val="ConsPlusNonformat"/>
              <w:jc w:val="both"/>
            </w:pPr>
            <w:r>
              <w:rPr>
                <w:sz w:val="16"/>
              </w:rPr>
              <w:t xml:space="preserve">  1056,03  </w:t>
            </w:r>
          </w:p>
        </w:tc>
      </w:tr>
      <w:tr w:rsidR="00A41090">
        <w:trPr>
          <w:trHeight w:val="160"/>
        </w:trPr>
        <w:tc>
          <w:tcPr>
            <w:tcW w:w="960" w:type="dxa"/>
            <w:tcBorders>
              <w:top w:val="nil"/>
            </w:tcBorders>
          </w:tcPr>
          <w:p w:rsidR="00A41090" w:rsidRDefault="00A41090">
            <w:pPr>
              <w:pStyle w:val="ConsPlusNonformat"/>
              <w:jc w:val="both"/>
            </w:pPr>
            <w:r>
              <w:rPr>
                <w:sz w:val="16"/>
              </w:rPr>
              <w:t xml:space="preserve">  8.2   </w:t>
            </w:r>
          </w:p>
        </w:tc>
        <w:tc>
          <w:tcPr>
            <w:tcW w:w="3360" w:type="dxa"/>
            <w:tcBorders>
              <w:top w:val="nil"/>
            </w:tcBorders>
          </w:tcPr>
          <w:p w:rsidR="00A41090" w:rsidRDefault="00A41090">
            <w:pPr>
              <w:pStyle w:val="ConsPlusNonformat"/>
              <w:jc w:val="both"/>
            </w:pPr>
            <w:r>
              <w:rPr>
                <w:sz w:val="16"/>
              </w:rPr>
              <w:t xml:space="preserve">Число </w:t>
            </w:r>
            <w:proofErr w:type="gramStart"/>
            <w:r>
              <w:rPr>
                <w:sz w:val="16"/>
              </w:rPr>
              <w:t>родившихся</w:t>
            </w:r>
            <w:proofErr w:type="gramEnd"/>
            <w:r>
              <w:rPr>
                <w:sz w:val="16"/>
              </w:rPr>
              <w:t xml:space="preserve">                 </w:t>
            </w:r>
          </w:p>
        </w:tc>
        <w:tc>
          <w:tcPr>
            <w:tcW w:w="1152" w:type="dxa"/>
            <w:tcBorders>
              <w:top w:val="nil"/>
            </w:tcBorders>
          </w:tcPr>
          <w:p w:rsidR="00A41090" w:rsidRDefault="00A41090">
            <w:pPr>
              <w:pStyle w:val="ConsPlusNonformat"/>
              <w:jc w:val="both"/>
            </w:pPr>
            <w:r>
              <w:rPr>
                <w:sz w:val="16"/>
              </w:rPr>
              <w:t xml:space="preserve"> тыс</w:t>
            </w:r>
            <w:proofErr w:type="gramStart"/>
            <w:r>
              <w:rPr>
                <w:sz w:val="16"/>
              </w:rPr>
              <w:t>.ч</w:t>
            </w:r>
            <w:proofErr w:type="gramEnd"/>
            <w:r>
              <w:rPr>
                <w:sz w:val="16"/>
              </w:rPr>
              <w:t xml:space="preserve">ел. </w:t>
            </w:r>
          </w:p>
        </w:tc>
        <w:tc>
          <w:tcPr>
            <w:tcW w:w="1248" w:type="dxa"/>
            <w:tcBorders>
              <w:top w:val="nil"/>
            </w:tcBorders>
          </w:tcPr>
          <w:p w:rsidR="00A41090" w:rsidRDefault="00A41090">
            <w:pPr>
              <w:pStyle w:val="ConsPlusNonformat"/>
              <w:jc w:val="both"/>
            </w:pPr>
          </w:p>
        </w:tc>
        <w:tc>
          <w:tcPr>
            <w:tcW w:w="1152" w:type="dxa"/>
            <w:tcBorders>
              <w:top w:val="nil"/>
            </w:tcBorders>
          </w:tcPr>
          <w:p w:rsidR="00A41090" w:rsidRDefault="00A41090">
            <w:pPr>
              <w:pStyle w:val="ConsPlusNonformat"/>
              <w:jc w:val="both"/>
            </w:pPr>
            <w:r>
              <w:rPr>
                <w:sz w:val="16"/>
              </w:rPr>
              <w:t xml:space="preserve">  14,32   </w:t>
            </w:r>
          </w:p>
        </w:tc>
        <w:tc>
          <w:tcPr>
            <w:tcW w:w="1056" w:type="dxa"/>
            <w:tcBorders>
              <w:top w:val="nil"/>
            </w:tcBorders>
          </w:tcPr>
          <w:p w:rsidR="00A41090" w:rsidRDefault="00A41090">
            <w:pPr>
              <w:pStyle w:val="ConsPlusNonformat"/>
              <w:jc w:val="both"/>
            </w:pPr>
            <w:r>
              <w:rPr>
                <w:sz w:val="16"/>
              </w:rPr>
              <w:t xml:space="preserve">  15,59  </w:t>
            </w:r>
          </w:p>
        </w:tc>
        <w:tc>
          <w:tcPr>
            <w:tcW w:w="1152" w:type="dxa"/>
            <w:tcBorders>
              <w:top w:val="nil"/>
            </w:tcBorders>
          </w:tcPr>
          <w:p w:rsidR="00A41090" w:rsidRDefault="00A41090">
            <w:pPr>
              <w:pStyle w:val="ConsPlusNonformat"/>
              <w:jc w:val="both"/>
            </w:pPr>
            <w:r>
              <w:rPr>
                <w:sz w:val="16"/>
              </w:rPr>
              <w:t xml:space="preserve">  15,60   </w:t>
            </w:r>
          </w:p>
        </w:tc>
        <w:tc>
          <w:tcPr>
            <w:tcW w:w="1344" w:type="dxa"/>
            <w:tcBorders>
              <w:top w:val="nil"/>
            </w:tcBorders>
          </w:tcPr>
          <w:p w:rsidR="00A41090" w:rsidRDefault="00A41090">
            <w:pPr>
              <w:pStyle w:val="ConsPlusNonformat"/>
              <w:jc w:val="both"/>
            </w:pPr>
            <w:r>
              <w:rPr>
                <w:sz w:val="16"/>
              </w:rPr>
              <w:t xml:space="preserve">   15,60    </w:t>
            </w:r>
          </w:p>
        </w:tc>
        <w:tc>
          <w:tcPr>
            <w:tcW w:w="1344" w:type="dxa"/>
            <w:tcBorders>
              <w:top w:val="nil"/>
            </w:tcBorders>
          </w:tcPr>
          <w:p w:rsidR="00A41090" w:rsidRDefault="00A41090">
            <w:pPr>
              <w:pStyle w:val="ConsPlusNonformat"/>
              <w:jc w:val="both"/>
            </w:pPr>
            <w:r>
              <w:rPr>
                <w:sz w:val="16"/>
              </w:rPr>
              <w:t xml:space="preserve">   15,60    </w:t>
            </w:r>
          </w:p>
        </w:tc>
        <w:tc>
          <w:tcPr>
            <w:tcW w:w="1248" w:type="dxa"/>
            <w:tcBorders>
              <w:top w:val="nil"/>
            </w:tcBorders>
          </w:tcPr>
          <w:p w:rsidR="00A41090" w:rsidRDefault="00A41090">
            <w:pPr>
              <w:pStyle w:val="ConsPlusNonformat"/>
              <w:jc w:val="both"/>
            </w:pPr>
            <w:r>
              <w:rPr>
                <w:sz w:val="16"/>
              </w:rPr>
              <w:t xml:space="preserve">   15,70   </w:t>
            </w:r>
          </w:p>
        </w:tc>
      </w:tr>
      <w:tr w:rsidR="00A41090">
        <w:trPr>
          <w:trHeight w:val="160"/>
        </w:trPr>
        <w:tc>
          <w:tcPr>
            <w:tcW w:w="960" w:type="dxa"/>
            <w:tcBorders>
              <w:top w:val="nil"/>
            </w:tcBorders>
          </w:tcPr>
          <w:p w:rsidR="00A41090" w:rsidRDefault="00A41090">
            <w:pPr>
              <w:pStyle w:val="ConsPlusNonformat"/>
              <w:jc w:val="both"/>
            </w:pPr>
            <w:r>
              <w:rPr>
                <w:sz w:val="16"/>
              </w:rPr>
              <w:t xml:space="preserve">  8.3   </w:t>
            </w:r>
          </w:p>
        </w:tc>
        <w:tc>
          <w:tcPr>
            <w:tcW w:w="3360" w:type="dxa"/>
            <w:tcBorders>
              <w:top w:val="nil"/>
            </w:tcBorders>
          </w:tcPr>
          <w:p w:rsidR="00A41090" w:rsidRDefault="00A41090">
            <w:pPr>
              <w:pStyle w:val="ConsPlusNonformat"/>
              <w:jc w:val="both"/>
            </w:pPr>
            <w:r>
              <w:rPr>
                <w:sz w:val="16"/>
              </w:rPr>
              <w:t xml:space="preserve">Число </w:t>
            </w:r>
            <w:proofErr w:type="gramStart"/>
            <w:r>
              <w:rPr>
                <w:sz w:val="16"/>
              </w:rPr>
              <w:t>умерших</w:t>
            </w:r>
            <w:proofErr w:type="gramEnd"/>
            <w:r>
              <w:rPr>
                <w:sz w:val="16"/>
              </w:rPr>
              <w:t xml:space="preserve">                    </w:t>
            </w:r>
          </w:p>
        </w:tc>
        <w:tc>
          <w:tcPr>
            <w:tcW w:w="1152" w:type="dxa"/>
            <w:tcBorders>
              <w:top w:val="nil"/>
            </w:tcBorders>
          </w:tcPr>
          <w:p w:rsidR="00A41090" w:rsidRDefault="00A41090">
            <w:pPr>
              <w:pStyle w:val="ConsPlusNonformat"/>
              <w:jc w:val="both"/>
            </w:pPr>
            <w:r>
              <w:rPr>
                <w:sz w:val="16"/>
              </w:rPr>
              <w:t xml:space="preserve"> тыс</w:t>
            </w:r>
            <w:proofErr w:type="gramStart"/>
            <w:r>
              <w:rPr>
                <w:sz w:val="16"/>
              </w:rPr>
              <w:t>.ч</w:t>
            </w:r>
            <w:proofErr w:type="gramEnd"/>
            <w:r>
              <w:rPr>
                <w:sz w:val="16"/>
              </w:rPr>
              <w:t xml:space="preserve">ел. </w:t>
            </w:r>
          </w:p>
        </w:tc>
        <w:tc>
          <w:tcPr>
            <w:tcW w:w="1248" w:type="dxa"/>
            <w:tcBorders>
              <w:top w:val="nil"/>
            </w:tcBorders>
          </w:tcPr>
          <w:p w:rsidR="00A41090" w:rsidRDefault="00A41090">
            <w:pPr>
              <w:pStyle w:val="ConsPlusNonformat"/>
              <w:jc w:val="both"/>
            </w:pPr>
          </w:p>
        </w:tc>
        <w:tc>
          <w:tcPr>
            <w:tcW w:w="1152" w:type="dxa"/>
            <w:tcBorders>
              <w:top w:val="nil"/>
            </w:tcBorders>
          </w:tcPr>
          <w:p w:rsidR="00A41090" w:rsidRDefault="00A41090">
            <w:pPr>
              <w:pStyle w:val="ConsPlusNonformat"/>
              <w:jc w:val="both"/>
            </w:pPr>
            <w:r>
              <w:rPr>
                <w:sz w:val="16"/>
              </w:rPr>
              <w:t xml:space="preserve">  12,29   </w:t>
            </w:r>
          </w:p>
        </w:tc>
        <w:tc>
          <w:tcPr>
            <w:tcW w:w="1056" w:type="dxa"/>
            <w:tcBorders>
              <w:top w:val="nil"/>
            </w:tcBorders>
          </w:tcPr>
          <w:p w:rsidR="00A41090" w:rsidRDefault="00A41090">
            <w:pPr>
              <w:pStyle w:val="ConsPlusNonformat"/>
              <w:jc w:val="both"/>
            </w:pPr>
            <w:r>
              <w:rPr>
                <w:sz w:val="16"/>
              </w:rPr>
              <w:t xml:space="preserve">  12,78  </w:t>
            </w:r>
          </w:p>
        </w:tc>
        <w:tc>
          <w:tcPr>
            <w:tcW w:w="1152" w:type="dxa"/>
            <w:tcBorders>
              <w:top w:val="nil"/>
            </w:tcBorders>
          </w:tcPr>
          <w:p w:rsidR="00A41090" w:rsidRDefault="00A41090">
            <w:pPr>
              <w:pStyle w:val="ConsPlusNonformat"/>
              <w:jc w:val="both"/>
            </w:pPr>
            <w:r>
              <w:rPr>
                <w:sz w:val="16"/>
              </w:rPr>
              <w:t xml:space="preserve">  12,70   </w:t>
            </w:r>
          </w:p>
        </w:tc>
        <w:tc>
          <w:tcPr>
            <w:tcW w:w="1344" w:type="dxa"/>
            <w:tcBorders>
              <w:top w:val="nil"/>
            </w:tcBorders>
          </w:tcPr>
          <w:p w:rsidR="00A41090" w:rsidRDefault="00A41090">
            <w:pPr>
              <w:pStyle w:val="ConsPlusNonformat"/>
              <w:jc w:val="both"/>
            </w:pPr>
            <w:r>
              <w:rPr>
                <w:sz w:val="16"/>
              </w:rPr>
              <w:t xml:space="preserve">   12,70    </w:t>
            </w:r>
          </w:p>
        </w:tc>
        <w:tc>
          <w:tcPr>
            <w:tcW w:w="1344" w:type="dxa"/>
            <w:tcBorders>
              <w:top w:val="nil"/>
            </w:tcBorders>
          </w:tcPr>
          <w:p w:rsidR="00A41090" w:rsidRDefault="00A41090">
            <w:pPr>
              <w:pStyle w:val="ConsPlusNonformat"/>
              <w:jc w:val="both"/>
            </w:pPr>
            <w:r>
              <w:rPr>
                <w:sz w:val="16"/>
              </w:rPr>
              <w:t xml:space="preserve">   12,80    </w:t>
            </w:r>
          </w:p>
        </w:tc>
        <w:tc>
          <w:tcPr>
            <w:tcW w:w="1248" w:type="dxa"/>
            <w:tcBorders>
              <w:top w:val="nil"/>
            </w:tcBorders>
          </w:tcPr>
          <w:p w:rsidR="00A41090" w:rsidRDefault="00A41090">
            <w:pPr>
              <w:pStyle w:val="ConsPlusNonformat"/>
              <w:jc w:val="both"/>
            </w:pPr>
            <w:r>
              <w:rPr>
                <w:sz w:val="16"/>
              </w:rPr>
              <w:t xml:space="preserve">   12,80   </w:t>
            </w:r>
          </w:p>
        </w:tc>
      </w:tr>
      <w:tr w:rsidR="00A41090">
        <w:trPr>
          <w:trHeight w:val="160"/>
        </w:trPr>
        <w:tc>
          <w:tcPr>
            <w:tcW w:w="960" w:type="dxa"/>
            <w:tcBorders>
              <w:top w:val="nil"/>
            </w:tcBorders>
          </w:tcPr>
          <w:p w:rsidR="00A41090" w:rsidRDefault="00A41090">
            <w:pPr>
              <w:pStyle w:val="ConsPlusNonformat"/>
              <w:jc w:val="both"/>
            </w:pPr>
            <w:r>
              <w:rPr>
                <w:sz w:val="16"/>
              </w:rPr>
              <w:t xml:space="preserve">  8.4   </w:t>
            </w:r>
          </w:p>
        </w:tc>
        <w:tc>
          <w:tcPr>
            <w:tcW w:w="3360" w:type="dxa"/>
            <w:tcBorders>
              <w:top w:val="nil"/>
            </w:tcBorders>
          </w:tcPr>
          <w:p w:rsidR="00A41090" w:rsidRDefault="00A41090">
            <w:pPr>
              <w:pStyle w:val="ConsPlusNonformat"/>
              <w:jc w:val="both"/>
            </w:pPr>
            <w:r>
              <w:rPr>
                <w:sz w:val="16"/>
              </w:rPr>
              <w:t xml:space="preserve">Миграционный прирост/убыль       </w:t>
            </w:r>
          </w:p>
          <w:p w:rsidR="00A41090" w:rsidRDefault="00A41090">
            <w:pPr>
              <w:pStyle w:val="ConsPlusNonformat"/>
              <w:jc w:val="both"/>
            </w:pPr>
            <w:r>
              <w:rPr>
                <w:sz w:val="16"/>
              </w:rPr>
              <w:t xml:space="preserve">населения                        </w:t>
            </w:r>
          </w:p>
        </w:tc>
        <w:tc>
          <w:tcPr>
            <w:tcW w:w="1152" w:type="dxa"/>
            <w:tcBorders>
              <w:top w:val="nil"/>
            </w:tcBorders>
          </w:tcPr>
          <w:p w:rsidR="00A41090" w:rsidRDefault="00A41090">
            <w:pPr>
              <w:pStyle w:val="ConsPlusNonformat"/>
              <w:jc w:val="both"/>
            </w:pPr>
            <w:r>
              <w:rPr>
                <w:sz w:val="16"/>
              </w:rPr>
              <w:t xml:space="preserve">   чел.   </w:t>
            </w:r>
          </w:p>
        </w:tc>
        <w:tc>
          <w:tcPr>
            <w:tcW w:w="1248" w:type="dxa"/>
            <w:tcBorders>
              <w:top w:val="nil"/>
            </w:tcBorders>
          </w:tcPr>
          <w:p w:rsidR="00A41090" w:rsidRDefault="00A41090">
            <w:pPr>
              <w:pStyle w:val="ConsPlusNonformat"/>
              <w:jc w:val="both"/>
            </w:pPr>
          </w:p>
        </w:tc>
        <w:tc>
          <w:tcPr>
            <w:tcW w:w="1152" w:type="dxa"/>
            <w:tcBorders>
              <w:top w:val="nil"/>
            </w:tcBorders>
          </w:tcPr>
          <w:p w:rsidR="00A41090" w:rsidRDefault="00A41090">
            <w:pPr>
              <w:pStyle w:val="ConsPlusNonformat"/>
              <w:jc w:val="both"/>
            </w:pPr>
            <w:r>
              <w:rPr>
                <w:sz w:val="16"/>
              </w:rPr>
              <w:t xml:space="preserve">   7965   </w:t>
            </w:r>
          </w:p>
        </w:tc>
        <w:tc>
          <w:tcPr>
            <w:tcW w:w="1056" w:type="dxa"/>
            <w:tcBorders>
              <w:top w:val="nil"/>
            </w:tcBorders>
          </w:tcPr>
          <w:p w:rsidR="00A41090" w:rsidRDefault="00A41090">
            <w:pPr>
              <w:pStyle w:val="ConsPlusNonformat"/>
              <w:jc w:val="both"/>
            </w:pPr>
            <w:r>
              <w:rPr>
                <w:sz w:val="16"/>
              </w:rPr>
              <w:t xml:space="preserve">  2627   </w:t>
            </w:r>
          </w:p>
        </w:tc>
        <w:tc>
          <w:tcPr>
            <w:tcW w:w="1152" w:type="dxa"/>
            <w:tcBorders>
              <w:top w:val="nil"/>
            </w:tcBorders>
          </w:tcPr>
          <w:p w:rsidR="00A41090" w:rsidRDefault="00A41090">
            <w:pPr>
              <w:pStyle w:val="ConsPlusNonformat"/>
              <w:jc w:val="both"/>
            </w:pPr>
            <w:r>
              <w:rPr>
                <w:sz w:val="16"/>
              </w:rPr>
              <w:t xml:space="preserve">   1500   </w:t>
            </w:r>
          </w:p>
        </w:tc>
        <w:tc>
          <w:tcPr>
            <w:tcW w:w="1344" w:type="dxa"/>
            <w:tcBorders>
              <w:top w:val="nil"/>
            </w:tcBorders>
          </w:tcPr>
          <w:p w:rsidR="00A41090" w:rsidRDefault="00A41090">
            <w:pPr>
              <w:pStyle w:val="ConsPlusNonformat"/>
              <w:jc w:val="both"/>
            </w:pPr>
            <w:r>
              <w:rPr>
                <w:sz w:val="16"/>
              </w:rPr>
              <w:t xml:space="preserve">    1850    </w:t>
            </w:r>
          </w:p>
        </w:tc>
        <w:tc>
          <w:tcPr>
            <w:tcW w:w="1344" w:type="dxa"/>
            <w:tcBorders>
              <w:top w:val="nil"/>
            </w:tcBorders>
          </w:tcPr>
          <w:p w:rsidR="00A41090" w:rsidRDefault="00A41090">
            <w:pPr>
              <w:pStyle w:val="ConsPlusNonformat"/>
              <w:jc w:val="both"/>
            </w:pPr>
            <w:r>
              <w:rPr>
                <w:sz w:val="16"/>
              </w:rPr>
              <w:t xml:space="preserve">    2200    </w:t>
            </w:r>
          </w:p>
        </w:tc>
        <w:tc>
          <w:tcPr>
            <w:tcW w:w="1248" w:type="dxa"/>
            <w:tcBorders>
              <w:top w:val="nil"/>
            </w:tcBorders>
          </w:tcPr>
          <w:p w:rsidR="00A41090" w:rsidRDefault="00A41090">
            <w:pPr>
              <w:pStyle w:val="ConsPlusNonformat"/>
              <w:jc w:val="both"/>
            </w:pPr>
            <w:r>
              <w:rPr>
                <w:sz w:val="16"/>
              </w:rPr>
              <w:t xml:space="preserve">   2650    </w:t>
            </w:r>
          </w:p>
        </w:tc>
      </w:tr>
      <w:tr w:rsidR="00A41090">
        <w:trPr>
          <w:trHeight w:val="160"/>
        </w:trPr>
        <w:tc>
          <w:tcPr>
            <w:tcW w:w="960" w:type="dxa"/>
            <w:tcBorders>
              <w:top w:val="nil"/>
            </w:tcBorders>
          </w:tcPr>
          <w:p w:rsidR="00A41090" w:rsidRDefault="00A41090">
            <w:pPr>
              <w:pStyle w:val="ConsPlusNonformat"/>
              <w:jc w:val="both"/>
            </w:pPr>
            <w:r>
              <w:rPr>
                <w:sz w:val="16"/>
              </w:rPr>
              <w:t xml:space="preserve">  8.5   </w:t>
            </w:r>
          </w:p>
        </w:tc>
        <w:tc>
          <w:tcPr>
            <w:tcW w:w="3360" w:type="dxa"/>
            <w:tcBorders>
              <w:top w:val="nil"/>
            </w:tcBorders>
          </w:tcPr>
          <w:p w:rsidR="00A41090" w:rsidRDefault="00A41090">
            <w:pPr>
              <w:pStyle w:val="ConsPlusNonformat"/>
              <w:jc w:val="both"/>
            </w:pPr>
            <w:r>
              <w:rPr>
                <w:sz w:val="16"/>
              </w:rPr>
              <w:t xml:space="preserve">Численность детей до 18 лет      </w:t>
            </w:r>
          </w:p>
          <w:p w:rsidR="00A41090" w:rsidRDefault="00A41090">
            <w:pPr>
              <w:pStyle w:val="ConsPlusNonformat"/>
              <w:jc w:val="both"/>
            </w:pPr>
            <w:r>
              <w:rPr>
                <w:sz w:val="16"/>
              </w:rPr>
              <w:t xml:space="preserve">(на начало года)                 </w:t>
            </w:r>
          </w:p>
        </w:tc>
        <w:tc>
          <w:tcPr>
            <w:tcW w:w="1152" w:type="dxa"/>
            <w:tcBorders>
              <w:top w:val="nil"/>
            </w:tcBorders>
          </w:tcPr>
          <w:p w:rsidR="00A41090" w:rsidRDefault="00A41090">
            <w:pPr>
              <w:pStyle w:val="ConsPlusNonformat"/>
              <w:jc w:val="both"/>
            </w:pPr>
            <w:r>
              <w:rPr>
                <w:sz w:val="16"/>
              </w:rPr>
              <w:t xml:space="preserve"> тыс</w:t>
            </w:r>
            <w:proofErr w:type="gramStart"/>
            <w:r>
              <w:rPr>
                <w:sz w:val="16"/>
              </w:rPr>
              <w:t>.ч</w:t>
            </w:r>
            <w:proofErr w:type="gramEnd"/>
            <w:r>
              <w:rPr>
                <w:sz w:val="16"/>
              </w:rPr>
              <w:t xml:space="preserve">ел. </w:t>
            </w:r>
          </w:p>
        </w:tc>
        <w:tc>
          <w:tcPr>
            <w:tcW w:w="1248" w:type="dxa"/>
            <w:tcBorders>
              <w:top w:val="nil"/>
            </w:tcBorders>
          </w:tcPr>
          <w:p w:rsidR="00A41090" w:rsidRDefault="00A41090">
            <w:pPr>
              <w:pStyle w:val="ConsPlusNonformat"/>
              <w:jc w:val="both"/>
            </w:pPr>
          </w:p>
        </w:tc>
        <w:tc>
          <w:tcPr>
            <w:tcW w:w="1152" w:type="dxa"/>
            <w:tcBorders>
              <w:top w:val="nil"/>
            </w:tcBorders>
          </w:tcPr>
          <w:p w:rsidR="00A41090" w:rsidRDefault="00A41090">
            <w:pPr>
              <w:pStyle w:val="ConsPlusNonformat"/>
              <w:jc w:val="both"/>
            </w:pPr>
            <w:r>
              <w:rPr>
                <w:sz w:val="16"/>
              </w:rPr>
              <w:t xml:space="preserve">  191,49  </w:t>
            </w:r>
          </w:p>
        </w:tc>
        <w:tc>
          <w:tcPr>
            <w:tcW w:w="1056" w:type="dxa"/>
            <w:tcBorders>
              <w:top w:val="nil"/>
            </w:tcBorders>
          </w:tcPr>
          <w:p w:rsidR="00A41090" w:rsidRDefault="00A41090">
            <w:pPr>
              <w:pStyle w:val="ConsPlusNonformat"/>
              <w:jc w:val="both"/>
            </w:pPr>
            <w:r>
              <w:rPr>
                <w:sz w:val="16"/>
              </w:rPr>
              <w:t xml:space="preserve"> 198,51  </w:t>
            </w:r>
          </w:p>
        </w:tc>
        <w:tc>
          <w:tcPr>
            <w:tcW w:w="1152" w:type="dxa"/>
            <w:tcBorders>
              <w:top w:val="nil"/>
            </w:tcBorders>
          </w:tcPr>
          <w:p w:rsidR="00A41090" w:rsidRDefault="00A41090">
            <w:pPr>
              <w:pStyle w:val="ConsPlusNonformat"/>
              <w:jc w:val="both"/>
            </w:pPr>
            <w:r>
              <w:rPr>
                <w:sz w:val="16"/>
              </w:rPr>
              <w:t xml:space="preserve">  206,57  </w:t>
            </w:r>
          </w:p>
        </w:tc>
        <w:tc>
          <w:tcPr>
            <w:tcW w:w="1344" w:type="dxa"/>
            <w:tcBorders>
              <w:top w:val="nil"/>
            </w:tcBorders>
          </w:tcPr>
          <w:p w:rsidR="00A41090" w:rsidRDefault="00A41090">
            <w:pPr>
              <w:pStyle w:val="ConsPlusNonformat"/>
              <w:jc w:val="both"/>
            </w:pPr>
            <w:r>
              <w:rPr>
                <w:sz w:val="16"/>
              </w:rPr>
              <w:t xml:space="preserve">   212,19   </w:t>
            </w:r>
          </w:p>
        </w:tc>
        <w:tc>
          <w:tcPr>
            <w:tcW w:w="1344" w:type="dxa"/>
            <w:tcBorders>
              <w:top w:val="nil"/>
            </w:tcBorders>
          </w:tcPr>
          <w:p w:rsidR="00A41090" w:rsidRDefault="00A41090">
            <w:pPr>
              <w:pStyle w:val="ConsPlusNonformat"/>
              <w:jc w:val="both"/>
            </w:pPr>
            <w:r>
              <w:rPr>
                <w:sz w:val="16"/>
              </w:rPr>
              <w:t xml:space="preserve">   218,86   </w:t>
            </w:r>
          </w:p>
        </w:tc>
        <w:tc>
          <w:tcPr>
            <w:tcW w:w="1248" w:type="dxa"/>
            <w:tcBorders>
              <w:top w:val="nil"/>
            </w:tcBorders>
          </w:tcPr>
          <w:p w:rsidR="00A41090" w:rsidRDefault="00A41090">
            <w:pPr>
              <w:pStyle w:val="ConsPlusNonformat"/>
              <w:jc w:val="both"/>
            </w:pPr>
            <w:r>
              <w:rPr>
                <w:sz w:val="16"/>
              </w:rPr>
              <w:t xml:space="preserve">  225,44   </w:t>
            </w:r>
          </w:p>
        </w:tc>
      </w:tr>
    </w:tbl>
    <w:p w:rsidR="00A41090" w:rsidRDefault="00A41090">
      <w:pPr>
        <w:pStyle w:val="ConsPlusNormal"/>
        <w:ind w:firstLine="540"/>
        <w:jc w:val="both"/>
      </w:pPr>
    </w:p>
    <w:p w:rsidR="00A41090" w:rsidRDefault="00A41090">
      <w:pPr>
        <w:pStyle w:val="ConsPlusNormal"/>
        <w:ind w:firstLine="540"/>
        <w:jc w:val="both"/>
      </w:pPr>
    </w:p>
    <w:p w:rsidR="00A41090" w:rsidRDefault="00A41090">
      <w:pPr>
        <w:pStyle w:val="ConsPlusNormal"/>
        <w:pBdr>
          <w:top w:val="single" w:sz="6" w:space="0" w:color="auto"/>
        </w:pBdr>
        <w:spacing w:before="100" w:after="100"/>
        <w:jc w:val="both"/>
        <w:rPr>
          <w:sz w:val="2"/>
          <w:szCs w:val="2"/>
        </w:rPr>
      </w:pPr>
    </w:p>
    <w:p w:rsidR="007D68DC" w:rsidRDefault="00A41090"/>
    <w:sectPr w:rsidR="007D68DC" w:rsidSect="008511C3">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41090"/>
    <w:rsid w:val="00785861"/>
    <w:rsid w:val="0096434A"/>
    <w:rsid w:val="00A41090"/>
    <w:rsid w:val="00FD3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8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10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109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109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C794B7EAA92A36335DBDAC8614C17E40D47BB4A51CC49B328F89A327D2C8061592AECCE58690C2F8B952E67K"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5555</Words>
  <Characters>31666</Characters>
  <Application>Microsoft Office Word</Application>
  <DocSecurity>0</DocSecurity>
  <Lines>263</Lines>
  <Paragraphs>74</Paragraphs>
  <ScaleCrop>false</ScaleCrop>
  <Company/>
  <LinksUpToDate>false</LinksUpToDate>
  <CharactersWithSpaces>37147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Zadoreckaya-lm</dc:creator>
  <cp:keywords/>
  <dc:description/>
  <cp:lastModifiedBy>Zadoreckaya-lm</cp:lastModifiedBy>
  <cp:revision>3</cp:revision>
  <dcterms:created xsi:type="dcterms:W3CDTF">2017-04-26T10:57:00Z</dcterms:created>
  <dcterms:modified xsi:type="dcterms:W3CDTF">2017-04-26T11:02:00Z</dcterms:modified>
</cp:coreProperties>
</file>