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8EB" w:rsidRPr="0050685A" w:rsidRDefault="0050685A" w:rsidP="00E758EB">
      <w:pPr>
        <w:spacing w:before="200" w:after="200"/>
        <w:jc w:val="center"/>
        <w:rPr>
          <w:b/>
          <w:bCs/>
          <w:iCs/>
          <w:sz w:val="28"/>
          <w:szCs w:val="28"/>
        </w:rPr>
      </w:pPr>
      <w:r w:rsidRPr="0050685A">
        <w:rPr>
          <w:b/>
          <w:bCs/>
          <w:iCs/>
          <w:sz w:val="28"/>
          <w:szCs w:val="28"/>
        </w:rPr>
        <w:t>Финансово-экономическое состояние субъектов малого и среднего предпринимательства города Перми</w:t>
      </w:r>
      <w:r w:rsidRPr="0050685A">
        <w:rPr>
          <w:b/>
          <w:bCs/>
          <w:iCs/>
          <w:sz w:val="28"/>
          <w:szCs w:val="28"/>
        </w:rPr>
        <w:br/>
      </w:r>
      <w:r w:rsidR="007141A1" w:rsidRPr="0050685A">
        <w:rPr>
          <w:b/>
          <w:bCs/>
          <w:iCs/>
          <w:sz w:val="28"/>
          <w:szCs w:val="28"/>
        </w:rPr>
        <w:t>за</w:t>
      </w:r>
      <w:r w:rsidR="00E758EB" w:rsidRPr="0050685A">
        <w:rPr>
          <w:b/>
          <w:bCs/>
          <w:iCs/>
          <w:sz w:val="28"/>
          <w:szCs w:val="28"/>
        </w:rPr>
        <w:t xml:space="preserve"> 2022 го</w:t>
      </w:r>
      <w:r w:rsidR="007141A1" w:rsidRPr="0050685A">
        <w:rPr>
          <w:b/>
          <w:bCs/>
          <w:iCs/>
          <w:sz w:val="28"/>
          <w:szCs w:val="28"/>
        </w:rPr>
        <w:t>д</w:t>
      </w:r>
    </w:p>
    <w:p w:rsidR="00E758EB" w:rsidRPr="0050685A" w:rsidRDefault="00E758EB" w:rsidP="00E758EB">
      <w:pPr>
        <w:ind w:firstLine="709"/>
        <w:jc w:val="both"/>
        <w:rPr>
          <w:sz w:val="24"/>
          <w:szCs w:val="24"/>
        </w:rPr>
      </w:pPr>
      <w:r w:rsidRPr="0050685A">
        <w:rPr>
          <w:iCs/>
          <w:sz w:val="24"/>
          <w:szCs w:val="24"/>
        </w:rPr>
        <w:t>По оперативным данным в январе</w:t>
      </w:r>
      <w:r w:rsidR="00967AFD" w:rsidRPr="0050685A">
        <w:rPr>
          <w:iCs/>
          <w:sz w:val="24"/>
          <w:szCs w:val="24"/>
        </w:rPr>
        <w:t>-</w:t>
      </w:r>
      <w:r w:rsidR="009A43F4" w:rsidRPr="0050685A">
        <w:rPr>
          <w:iCs/>
          <w:sz w:val="24"/>
          <w:szCs w:val="24"/>
        </w:rPr>
        <w:t>декабре</w:t>
      </w:r>
      <w:r w:rsidRPr="0050685A">
        <w:rPr>
          <w:iCs/>
          <w:sz w:val="24"/>
          <w:szCs w:val="24"/>
        </w:rPr>
        <w:t xml:space="preserve"> 2022 года сальдированный финансовый результат (прибыль минус убыток) организаций</w:t>
      </w:r>
      <w:r w:rsidRPr="0050685A">
        <w:rPr>
          <w:rStyle w:val="a7"/>
          <w:b/>
          <w:iCs/>
          <w:sz w:val="24"/>
          <w:szCs w:val="24"/>
        </w:rPr>
        <w:footnoteReference w:id="1"/>
      </w:r>
      <w:r w:rsidRPr="0050685A">
        <w:rPr>
          <w:iCs/>
          <w:sz w:val="24"/>
          <w:szCs w:val="24"/>
        </w:rPr>
        <w:t xml:space="preserve"> города Перми по сравнению с соответствующим периодом прошлого года </w:t>
      </w:r>
      <w:r w:rsidR="004D2693" w:rsidRPr="0050685A">
        <w:rPr>
          <w:iCs/>
          <w:sz w:val="24"/>
          <w:szCs w:val="24"/>
        </w:rPr>
        <w:t xml:space="preserve">сократился на </w:t>
      </w:r>
      <w:r w:rsidR="009A43F4" w:rsidRPr="0050685A">
        <w:rPr>
          <w:iCs/>
          <w:sz w:val="24"/>
          <w:szCs w:val="24"/>
        </w:rPr>
        <w:t>19,6</w:t>
      </w:r>
      <w:r w:rsidRPr="0050685A">
        <w:rPr>
          <w:iCs/>
          <w:sz w:val="24"/>
          <w:szCs w:val="24"/>
        </w:rPr>
        <w:t xml:space="preserve">% до </w:t>
      </w:r>
      <w:r w:rsidR="009A43F4" w:rsidRPr="0050685A">
        <w:rPr>
          <w:sz w:val="24"/>
          <w:szCs w:val="24"/>
        </w:rPr>
        <w:t>128993,1</w:t>
      </w:r>
      <w:r w:rsidRPr="0050685A">
        <w:rPr>
          <w:sz w:val="24"/>
          <w:szCs w:val="24"/>
        </w:rPr>
        <w:t xml:space="preserve"> </w:t>
      </w:r>
      <w:proofErr w:type="gramStart"/>
      <w:r w:rsidRPr="0050685A">
        <w:rPr>
          <w:iCs/>
          <w:sz w:val="24"/>
          <w:szCs w:val="24"/>
        </w:rPr>
        <w:t>млн</w:t>
      </w:r>
      <w:proofErr w:type="gramEnd"/>
      <w:r w:rsidRPr="0050685A">
        <w:rPr>
          <w:iCs/>
          <w:sz w:val="24"/>
          <w:szCs w:val="24"/>
        </w:rPr>
        <w:t xml:space="preserve"> рублей прибыли. </w:t>
      </w:r>
    </w:p>
    <w:p w:rsidR="00E758EB" w:rsidRPr="0050685A" w:rsidRDefault="00E758EB" w:rsidP="00E758EB">
      <w:pPr>
        <w:ind w:firstLine="709"/>
        <w:jc w:val="both"/>
        <w:rPr>
          <w:color w:val="000000"/>
          <w:sz w:val="24"/>
          <w:szCs w:val="24"/>
        </w:rPr>
      </w:pPr>
      <w:r w:rsidRPr="0050685A">
        <w:rPr>
          <w:iCs/>
          <w:sz w:val="24"/>
          <w:szCs w:val="24"/>
        </w:rPr>
        <w:t>Большая часть</w:t>
      </w:r>
      <w:r w:rsidR="00F60B14" w:rsidRPr="0050685A">
        <w:rPr>
          <w:iCs/>
          <w:sz w:val="24"/>
          <w:szCs w:val="24"/>
        </w:rPr>
        <w:t xml:space="preserve"> организаций</w:t>
      </w:r>
      <w:r w:rsidRPr="0050685A">
        <w:rPr>
          <w:iCs/>
          <w:sz w:val="24"/>
          <w:szCs w:val="24"/>
        </w:rPr>
        <w:t xml:space="preserve"> (</w:t>
      </w:r>
      <w:r w:rsidR="00255D48" w:rsidRPr="0050685A">
        <w:rPr>
          <w:iCs/>
          <w:sz w:val="24"/>
          <w:szCs w:val="24"/>
        </w:rPr>
        <w:t>77,2</w:t>
      </w:r>
      <w:r w:rsidRPr="0050685A">
        <w:rPr>
          <w:iCs/>
          <w:sz w:val="24"/>
          <w:szCs w:val="24"/>
        </w:rPr>
        <w:t xml:space="preserve">%) завершила отчетный период с прибылью, которая сложилась в сумме </w:t>
      </w:r>
      <w:r w:rsidR="00255D48" w:rsidRPr="0050685A">
        <w:rPr>
          <w:color w:val="000000"/>
          <w:sz w:val="24"/>
          <w:szCs w:val="24"/>
        </w:rPr>
        <w:t>142502,4</w:t>
      </w:r>
      <w:r w:rsidRPr="0050685A">
        <w:rPr>
          <w:sz w:val="24"/>
          <w:szCs w:val="24"/>
        </w:rPr>
        <w:t xml:space="preserve"> </w:t>
      </w:r>
      <w:r w:rsidRPr="0050685A">
        <w:rPr>
          <w:iCs/>
          <w:sz w:val="24"/>
          <w:szCs w:val="24"/>
        </w:rPr>
        <w:t>млн рублей (</w:t>
      </w:r>
      <w:r w:rsidR="00255D48" w:rsidRPr="0050685A">
        <w:rPr>
          <w:iCs/>
          <w:sz w:val="24"/>
          <w:szCs w:val="24"/>
        </w:rPr>
        <w:t>81,1</w:t>
      </w:r>
      <w:r w:rsidRPr="0050685A">
        <w:rPr>
          <w:iCs/>
          <w:sz w:val="24"/>
          <w:szCs w:val="24"/>
        </w:rPr>
        <w:t xml:space="preserve">% к уровню 2021 года). Удельный вес убыточных </w:t>
      </w:r>
      <w:r w:rsidR="003B6299" w:rsidRPr="0050685A">
        <w:rPr>
          <w:iCs/>
          <w:sz w:val="24"/>
          <w:szCs w:val="24"/>
        </w:rPr>
        <w:t xml:space="preserve">организаций </w:t>
      </w:r>
      <w:r w:rsidRPr="0050685A">
        <w:rPr>
          <w:iCs/>
          <w:sz w:val="24"/>
          <w:szCs w:val="24"/>
        </w:rPr>
        <w:t xml:space="preserve">составил </w:t>
      </w:r>
      <w:r w:rsidR="002F320D" w:rsidRPr="0050685A">
        <w:rPr>
          <w:iCs/>
          <w:sz w:val="24"/>
          <w:szCs w:val="24"/>
        </w:rPr>
        <w:t>22,8</w:t>
      </w:r>
      <w:r w:rsidRPr="0050685A">
        <w:rPr>
          <w:iCs/>
          <w:sz w:val="24"/>
          <w:szCs w:val="24"/>
        </w:rPr>
        <w:t xml:space="preserve">% и </w:t>
      </w:r>
      <w:r w:rsidR="007D3E54" w:rsidRPr="0050685A">
        <w:rPr>
          <w:iCs/>
          <w:sz w:val="24"/>
          <w:szCs w:val="24"/>
        </w:rPr>
        <w:t xml:space="preserve">превысил показатель аналогичного периода прошлого года </w:t>
      </w:r>
      <w:r w:rsidRPr="0050685A">
        <w:rPr>
          <w:iCs/>
          <w:sz w:val="24"/>
          <w:szCs w:val="24"/>
        </w:rPr>
        <w:t xml:space="preserve">на </w:t>
      </w:r>
      <w:r w:rsidR="002F320D" w:rsidRPr="0050685A">
        <w:rPr>
          <w:iCs/>
          <w:sz w:val="24"/>
          <w:szCs w:val="24"/>
        </w:rPr>
        <w:t>5,3</w:t>
      </w:r>
      <w:r w:rsidRPr="0050685A">
        <w:rPr>
          <w:iCs/>
          <w:sz w:val="24"/>
          <w:szCs w:val="24"/>
        </w:rPr>
        <w:t xml:space="preserve"> процентн</w:t>
      </w:r>
      <w:r w:rsidR="00384D84" w:rsidRPr="0050685A">
        <w:rPr>
          <w:iCs/>
          <w:sz w:val="24"/>
          <w:szCs w:val="24"/>
        </w:rPr>
        <w:t>ого</w:t>
      </w:r>
      <w:r w:rsidRPr="0050685A">
        <w:rPr>
          <w:iCs/>
          <w:sz w:val="24"/>
          <w:szCs w:val="24"/>
        </w:rPr>
        <w:t xml:space="preserve"> пункта. Одновременно сумма убытка полученного ими, </w:t>
      </w:r>
      <w:r w:rsidR="006C008E" w:rsidRPr="0050685A">
        <w:rPr>
          <w:iCs/>
          <w:sz w:val="24"/>
          <w:szCs w:val="24"/>
        </w:rPr>
        <w:t>уменьшилас</w:t>
      </w:r>
      <w:r w:rsidRPr="0050685A">
        <w:rPr>
          <w:iCs/>
          <w:sz w:val="24"/>
          <w:szCs w:val="24"/>
        </w:rPr>
        <w:t xml:space="preserve">ь до </w:t>
      </w:r>
      <w:r w:rsidR="002F320D" w:rsidRPr="0050685A">
        <w:rPr>
          <w:sz w:val="24"/>
          <w:szCs w:val="24"/>
        </w:rPr>
        <w:t>13509,2</w:t>
      </w:r>
      <w:r w:rsidRPr="0050685A">
        <w:rPr>
          <w:iCs/>
          <w:sz w:val="24"/>
          <w:szCs w:val="24"/>
        </w:rPr>
        <w:t xml:space="preserve"> млн рублей</w:t>
      </w:r>
      <w:r w:rsidR="002F320D" w:rsidRPr="0050685A">
        <w:rPr>
          <w:iCs/>
          <w:sz w:val="24"/>
          <w:szCs w:val="24"/>
        </w:rPr>
        <w:t xml:space="preserve">, что </w:t>
      </w:r>
      <w:r w:rsidR="00B54FDE" w:rsidRPr="0050685A">
        <w:rPr>
          <w:iCs/>
          <w:sz w:val="24"/>
          <w:szCs w:val="24"/>
        </w:rPr>
        <w:t xml:space="preserve">на 12,1% </w:t>
      </w:r>
      <w:r w:rsidR="002F320D" w:rsidRPr="0050685A">
        <w:rPr>
          <w:iCs/>
          <w:sz w:val="24"/>
          <w:szCs w:val="24"/>
        </w:rPr>
        <w:t>ниже</w:t>
      </w:r>
      <w:r w:rsidRPr="0050685A">
        <w:rPr>
          <w:iCs/>
          <w:sz w:val="24"/>
          <w:szCs w:val="24"/>
        </w:rPr>
        <w:t xml:space="preserve"> прошлогодн</w:t>
      </w:r>
      <w:r w:rsidR="002F320D" w:rsidRPr="0050685A">
        <w:rPr>
          <w:iCs/>
          <w:sz w:val="24"/>
          <w:szCs w:val="24"/>
        </w:rPr>
        <w:t>его</w:t>
      </w:r>
      <w:r w:rsidRPr="0050685A">
        <w:rPr>
          <w:iCs/>
          <w:sz w:val="24"/>
          <w:szCs w:val="24"/>
        </w:rPr>
        <w:t xml:space="preserve"> результат</w:t>
      </w:r>
      <w:r w:rsidR="002F320D" w:rsidRPr="0050685A">
        <w:rPr>
          <w:iCs/>
          <w:sz w:val="24"/>
          <w:szCs w:val="24"/>
        </w:rPr>
        <w:t>а</w:t>
      </w:r>
      <w:r w:rsidRPr="0050685A">
        <w:rPr>
          <w:iCs/>
          <w:sz w:val="24"/>
          <w:szCs w:val="24"/>
        </w:rPr>
        <w:t xml:space="preserve">. </w:t>
      </w:r>
    </w:p>
    <w:p w:rsidR="00E758EB" w:rsidRPr="0050685A" w:rsidRDefault="00E758EB" w:rsidP="00E758EB">
      <w:pPr>
        <w:pStyle w:val="a3"/>
        <w:spacing w:before="120"/>
        <w:jc w:val="center"/>
        <w:rPr>
          <w:rFonts w:ascii="Times New Roman" w:hAnsi="Times New Roman"/>
          <w:b/>
          <w:iCs/>
          <w:szCs w:val="24"/>
        </w:rPr>
      </w:pPr>
      <w:r w:rsidRPr="0050685A">
        <w:rPr>
          <w:rFonts w:ascii="Times New Roman" w:hAnsi="Times New Roman"/>
          <w:b/>
          <w:iCs/>
          <w:szCs w:val="24"/>
        </w:rPr>
        <w:t>Формирование финанс</w:t>
      </w:r>
      <w:bookmarkStart w:id="0" w:name="_GoBack"/>
      <w:bookmarkEnd w:id="0"/>
      <w:r w:rsidRPr="0050685A">
        <w:rPr>
          <w:rFonts w:ascii="Times New Roman" w:hAnsi="Times New Roman"/>
          <w:b/>
          <w:iCs/>
          <w:szCs w:val="24"/>
        </w:rPr>
        <w:t>ового результата в январе</w:t>
      </w:r>
      <w:r w:rsidR="00967AFD" w:rsidRPr="0050685A">
        <w:rPr>
          <w:rFonts w:ascii="Times New Roman" w:hAnsi="Times New Roman"/>
          <w:b/>
          <w:iCs/>
          <w:szCs w:val="24"/>
        </w:rPr>
        <w:t>-</w:t>
      </w:r>
      <w:r w:rsidR="00570870" w:rsidRPr="0050685A">
        <w:rPr>
          <w:rFonts w:ascii="Times New Roman" w:hAnsi="Times New Roman"/>
          <w:b/>
          <w:iCs/>
          <w:szCs w:val="24"/>
        </w:rPr>
        <w:t>декабре</w:t>
      </w:r>
      <w:r w:rsidRPr="0050685A">
        <w:rPr>
          <w:rFonts w:ascii="Times New Roman" w:hAnsi="Times New Roman"/>
          <w:b/>
          <w:iCs/>
          <w:szCs w:val="24"/>
        </w:rPr>
        <w:t xml:space="preserve"> 2022 года</w:t>
      </w:r>
    </w:p>
    <w:p w:rsidR="00E758EB" w:rsidRPr="0050685A" w:rsidRDefault="00E758EB" w:rsidP="00E758EB">
      <w:pPr>
        <w:pStyle w:val="a3"/>
        <w:ind w:firstLine="709"/>
        <w:jc w:val="center"/>
        <w:rPr>
          <w:rFonts w:ascii="Times New Roman" w:hAnsi="Times New Roman"/>
          <w:i/>
          <w:iCs/>
          <w:sz w:val="22"/>
        </w:rPr>
      </w:pPr>
      <w:r w:rsidRPr="0050685A">
        <w:rPr>
          <w:rFonts w:ascii="Times New Roman" w:hAnsi="Times New Roman"/>
          <w:b/>
          <w:iCs/>
          <w:szCs w:val="24"/>
        </w:rPr>
        <w:t>(млн рублей)</w:t>
      </w:r>
      <w:r w:rsidRPr="0050685A">
        <w:rPr>
          <w:rFonts w:ascii="Times New Roman" w:hAnsi="Times New Roman"/>
          <w:i/>
          <w:iCs/>
          <w:sz w:val="22"/>
        </w:rPr>
        <w:t xml:space="preserve"> </w:t>
      </w:r>
    </w:p>
    <w:p w:rsidR="003928ED" w:rsidRPr="0050685A" w:rsidRDefault="00E758EB">
      <w:r w:rsidRPr="0050685A">
        <w:rPr>
          <w:noProof/>
          <w:color w:val="EB5F60"/>
        </w:rPr>
        <w:drawing>
          <wp:inline distT="0" distB="0" distL="0" distR="0">
            <wp:extent cx="6276975" cy="209550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758EB" w:rsidRPr="0050685A" w:rsidRDefault="00E758EB" w:rsidP="00172240">
      <w:pPr>
        <w:ind w:firstLine="709"/>
        <w:jc w:val="both"/>
        <w:rPr>
          <w:sz w:val="24"/>
          <w:szCs w:val="24"/>
        </w:rPr>
      </w:pPr>
      <w:r w:rsidRPr="0050685A">
        <w:rPr>
          <w:bCs/>
          <w:iCs/>
          <w:sz w:val="24"/>
          <w:szCs w:val="24"/>
        </w:rPr>
        <w:t xml:space="preserve">Суммарная задолженность по обязательствам (кредиторская и задолженность по кредитам банков и займам) по состоянию на 1 </w:t>
      </w:r>
      <w:r w:rsidR="004573C2" w:rsidRPr="0050685A">
        <w:rPr>
          <w:bCs/>
          <w:iCs/>
          <w:sz w:val="24"/>
          <w:szCs w:val="24"/>
        </w:rPr>
        <w:t>января 2023</w:t>
      </w:r>
      <w:r w:rsidRPr="0050685A">
        <w:rPr>
          <w:bCs/>
          <w:iCs/>
          <w:sz w:val="24"/>
          <w:szCs w:val="24"/>
        </w:rPr>
        <w:t xml:space="preserve"> года сложилась в размере </w:t>
      </w:r>
      <w:r w:rsidR="004573C2" w:rsidRPr="0050685A">
        <w:rPr>
          <w:sz w:val="24"/>
          <w:szCs w:val="24"/>
        </w:rPr>
        <w:t>828088,4</w:t>
      </w:r>
      <w:r w:rsidRPr="0050685A">
        <w:rPr>
          <w:bCs/>
          <w:iCs/>
          <w:sz w:val="24"/>
          <w:szCs w:val="24"/>
        </w:rPr>
        <w:t xml:space="preserve"> млн рублей, её просроченная составляющая – </w:t>
      </w:r>
      <w:r w:rsidR="004573C2" w:rsidRPr="0050685A">
        <w:rPr>
          <w:sz w:val="24"/>
          <w:szCs w:val="24"/>
        </w:rPr>
        <w:t>40167,1</w:t>
      </w:r>
      <w:r w:rsidR="00172240" w:rsidRPr="0050685A">
        <w:rPr>
          <w:sz w:val="24"/>
          <w:szCs w:val="24"/>
        </w:rPr>
        <w:t xml:space="preserve"> </w:t>
      </w:r>
      <w:r w:rsidRPr="0050685A">
        <w:rPr>
          <w:bCs/>
          <w:iCs/>
          <w:sz w:val="24"/>
          <w:szCs w:val="24"/>
        </w:rPr>
        <w:t>млн рублей (4,</w:t>
      </w:r>
      <w:r w:rsidR="00172240" w:rsidRPr="0050685A">
        <w:rPr>
          <w:bCs/>
          <w:iCs/>
          <w:sz w:val="24"/>
          <w:szCs w:val="24"/>
        </w:rPr>
        <w:t>9</w:t>
      </w:r>
      <w:r w:rsidRPr="0050685A">
        <w:rPr>
          <w:bCs/>
          <w:iCs/>
          <w:sz w:val="24"/>
          <w:szCs w:val="24"/>
        </w:rPr>
        <w:t>%).</w:t>
      </w:r>
    </w:p>
    <w:p w:rsidR="00E758EB" w:rsidRPr="0050685A" w:rsidRDefault="00E758EB" w:rsidP="00E758EB">
      <w:pPr>
        <w:pStyle w:val="a3"/>
        <w:spacing w:before="120" w:after="120"/>
        <w:jc w:val="center"/>
        <w:rPr>
          <w:rFonts w:ascii="Times New Roman" w:hAnsi="Times New Roman"/>
          <w:b/>
          <w:bCs/>
          <w:szCs w:val="24"/>
        </w:rPr>
      </w:pPr>
      <w:r w:rsidRPr="0050685A">
        <w:rPr>
          <w:rFonts w:ascii="Times New Roman" w:hAnsi="Times New Roman"/>
          <w:b/>
          <w:bCs/>
          <w:szCs w:val="24"/>
        </w:rPr>
        <w:t>Динамика суммарной задолженности организаций г. Перми</w:t>
      </w:r>
    </w:p>
    <w:p w:rsidR="00E758EB" w:rsidRPr="0050685A" w:rsidRDefault="00E758EB" w:rsidP="00E758EB">
      <w:pPr>
        <w:pStyle w:val="a3"/>
        <w:ind w:firstLine="720"/>
        <w:jc w:val="right"/>
        <w:rPr>
          <w:rFonts w:ascii="Times New Roman" w:hAnsi="Times New Roman"/>
          <w:bCs/>
          <w:iCs/>
          <w:sz w:val="20"/>
        </w:rPr>
      </w:pPr>
      <w:r w:rsidRPr="0050685A">
        <w:rPr>
          <w:rFonts w:ascii="Times New Roman" w:hAnsi="Times New Roman"/>
          <w:bCs/>
          <w:iCs/>
          <w:sz w:val="20"/>
        </w:rPr>
        <w:t>млн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1302"/>
        <w:gridCol w:w="1303"/>
        <w:gridCol w:w="1302"/>
        <w:gridCol w:w="1303"/>
      </w:tblGrid>
      <w:tr w:rsidR="00E758EB" w:rsidRPr="0050685A" w:rsidTr="007F186D">
        <w:trPr>
          <w:trHeight w:val="227"/>
          <w:jc w:val="center"/>
        </w:trPr>
        <w:tc>
          <w:tcPr>
            <w:tcW w:w="4927" w:type="dxa"/>
            <w:vMerge w:val="restart"/>
            <w:vAlign w:val="center"/>
          </w:tcPr>
          <w:p w:rsidR="00E758EB" w:rsidRPr="0050685A" w:rsidRDefault="00E758EB" w:rsidP="00E11EE8">
            <w:pPr>
              <w:pStyle w:val="a3"/>
              <w:ind w:left="-56"/>
              <w:jc w:val="center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E758EB" w:rsidRPr="0050685A" w:rsidRDefault="00E758EB" w:rsidP="00E11EE8">
            <w:pPr>
              <w:pStyle w:val="a3"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50685A">
              <w:rPr>
                <w:rFonts w:ascii="Times New Roman" w:hAnsi="Times New Roman"/>
                <w:bCs/>
                <w:i/>
                <w:iCs/>
                <w:sz w:val="20"/>
              </w:rPr>
              <w:t>Всего</w:t>
            </w:r>
          </w:p>
        </w:tc>
        <w:tc>
          <w:tcPr>
            <w:tcW w:w="2605" w:type="dxa"/>
            <w:gridSpan w:val="2"/>
            <w:vAlign w:val="center"/>
          </w:tcPr>
          <w:p w:rsidR="00E758EB" w:rsidRPr="0050685A" w:rsidRDefault="00E758EB" w:rsidP="00E11EE8">
            <w:pPr>
              <w:pStyle w:val="a3"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50685A">
              <w:rPr>
                <w:rFonts w:ascii="Times New Roman" w:hAnsi="Times New Roman"/>
                <w:bCs/>
                <w:i/>
                <w:iCs/>
                <w:sz w:val="20"/>
              </w:rPr>
              <w:t>из неё: просроченная</w:t>
            </w:r>
          </w:p>
        </w:tc>
      </w:tr>
      <w:tr w:rsidR="00E758EB" w:rsidRPr="0050685A" w:rsidTr="007F186D">
        <w:trPr>
          <w:trHeight w:val="227"/>
          <w:jc w:val="center"/>
        </w:trPr>
        <w:tc>
          <w:tcPr>
            <w:tcW w:w="4927" w:type="dxa"/>
            <w:vMerge/>
            <w:vAlign w:val="center"/>
          </w:tcPr>
          <w:p w:rsidR="00E758EB" w:rsidRPr="0050685A" w:rsidRDefault="00E758EB" w:rsidP="00E11EE8">
            <w:pPr>
              <w:pStyle w:val="a3"/>
              <w:ind w:left="-56"/>
              <w:jc w:val="center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2" w:type="dxa"/>
            <w:vAlign w:val="center"/>
          </w:tcPr>
          <w:p w:rsidR="00E758EB" w:rsidRPr="0050685A" w:rsidRDefault="00E51E7B" w:rsidP="00E51E7B">
            <w:pPr>
              <w:pStyle w:val="a3"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50685A">
              <w:rPr>
                <w:rFonts w:ascii="Times New Roman" w:hAnsi="Times New Roman"/>
                <w:bCs/>
                <w:i/>
                <w:iCs/>
                <w:sz w:val="20"/>
              </w:rPr>
              <w:t>На 1.01.23</w:t>
            </w:r>
          </w:p>
        </w:tc>
        <w:tc>
          <w:tcPr>
            <w:tcW w:w="1303" w:type="dxa"/>
            <w:vAlign w:val="center"/>
          </w:tcPr>
          <w:p w:rsidR="00E758EB" w:rsidRPr="0050685A" w:rsidRDefault="00E758EB" w:rsidP="00E51E7B">
            <w:pPr>
              <w:pStyle w:val="a3"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50685A">
              <w:rPr>
                <w:rFonts w:ascii="Times New Roman" w:hAnsi="Times New Roman"/>
                <w:bCs/>
                <w:i/>
                <w:iCs/>
                <w:sz w:val="20"/>
              </w:rPr>
              <w:t>на 1.</w:t>
            </w:r>
            <w:r w:rsidR="00E51E7B" w:rsidRPr="0050685A">
              <w:rPr>
                <w:rFonts w:ascii="Times New Roman" w:hAnsi="Times New Roman"/>
                <w:bCs/>
                <w:i/>
                <w:iCs/>
                <w:sz w:val="20"/>
              </w:rPr>
              <w:t>01.22</w:t>
            </w:r>
          </w:p>
        </w:tc>
        <w:tc>
          <w:tcPr>
            <w:tcW w:w="1302" w:type="dxa"/>
            <w:vAlign w:val="center"/>
          </w:tcPr>
          <w:p w:rsidR="00E758EB" w:rsidRPr="0050685A" w:rsidRDefault="00E758EB" w:rsidP="00E51E7B">
            <w:pPr>
              <w:pStyle w:val="a3"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50685A">
              <w:rPr>
                <w:rFonts w:ascii="Times New Roman" w:hAnsi="Times New Roman"/>
                <w:bCs/>
                <w:i/>
                <w:iCs/>
                <w:sz w:val="20"/>
              </w:rPr>
              <w:t>на 1.</w:t>
            </w:r>
            <w:r w:rsidR="00E51E7B" w:rsidRPr="0050685A">
              <w:rPr>
                <w:rFonts w:ascii="Times New Roman" w:hAnsi="Times New Roman"/>
                <w:bCs/>
                <w:i/>
                <w:iCs/>
                <w:sz w:val="20"/>
              </w:rPr>
              <w:t>01.23</w:t>
            </w:r>
          </w:p>
        </w:tc>
        <w:tc>
          <w:tcPr>
            <w:tcW w:w="1303" w:type="dxa"/>
            <w:vAlign w:val="center"/>
          </w:tcPr>
          <w:p w:rsidR="00E758EB" w:rsidRPr="0050685A" w:rsidRDefault="00E758EB" w:rsidP="00E51E7B">
            <w:pPr>
              <w:pStyle w:val="a3"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50685A">
              <w:rPr>
                <w:rFonts w:ascii="Times New Roman" w:hAnsi="Times New Roman"/>
                <w:bCs/>
                <w:i/>
                <w:iCs/>
                <w:sz w:val="20"/>
              </w:rPr>
              <w:t>на 01.</w:t>
            </w:r>
            <w:r w:rsidR="00E51E7B" w:rsidRPr="0050685A">
              <w:rPr>
                <w:rFonts w:ascii="Times New Roman" w:hAnsi="Times New Roman"/>
                <w:bCs/>
                <w:i/>
                <w:iCs/>
                <w:sz w:val="20"/>
              </w:rPr>
              <w:t>01.22</w:t>
            </w:r>
          </w:p>
        </w:tc>
      </w:tr>
      <w:tr w:rsidR="007F186D" w:rsidRPr="0050685A" w:rsidTr="007F186D">
        <w:trPr>
          <w:trHeight w:val="227"/>
          <w:jc w:val="center"/>
        </w:trPr>
        <w:tc>
          <w:tcPr>
            <w:tcW w:w="4927" w:type="dxa"/>
            <w:vAlign w:val="bottom"/>
          </w:tcPr>
          <w:p w:rsidR="007F186D" w:rsidRPr="0050685A" w:rsidRDefault="007F186D" w:rsidP="00E11EE8">
            <w:pPr>
              <w:pStyle w:val="a3"/>
              <w:ind w:left="-56"/>
              <w:rPr>
                <w:rFonts w:ascii="Times New Roman" w:hAnsi="Times New Roman"/>
                <w:bCs/>
                <w:iCs/>
                <w:sz w:val="20"/>
              </w:rPr>
            </w:pPr>
            <w:r w:rsidRPr="0050685A">
              <w:rPr>
                <w:rFonts w:ascii="Times New Roman" w:hAnsi="Times New Roman"/>
                <w:bCs/>
                <w:iCs/>
                <w:sz w:val="20"/>
              </w:rPr>
              <w:t>Суммарная задолженность по обязательствам</w:t>
            </w:r>
          </w:p>
        </w:tc>
        <w:tc>
          <w:tcPr>
            <w:tcW w:w="1302" w:type="dxa"/>
            <w:vAlign w:val="bottom"/>
          </w:tcPr>
          <w:p w:rsidR="007F186D" w:rsidRPr="0050685A" w:rsidRDefault="00F57AA3" w:rsidP="00E11EE8">
            <w:pPr>
              <w:ind w:right="142"/>
              <w:jc w:val="right"/>
              <w:rPr>
                <w:bCs/>
                <w:iCs/>
              </w:rPr>
            </w:pPr>
            <w:r w:rsidRPr="0050685A">
              <w:rPr>
                <w:bCs/>
                <w:iCs/>
              </w:rPr>
              <w:t>828088,4</w:t>
            </w:r>
          </w:p>
        </w:tc>
        <w:tc>
          <w:tcPr>
            <w:tcW w:w="1303" w:type="dxa"/>
            <w:vAlign w:val="bottom"/>
          </w:tcPr>
          <w:p w:rsidR="007F186D" w:rsidRPr="0050685A" w:rsidRDefault="00486CD2" w:rsidP="00A8531B">
            <w:pPr>
              <w:ind w:right="142"/>
              <w:jc w:val="right"/>
              <w:rPr>
                <w:bCs/>
                <w:iCs/>
              </w:rPr>
            </w:pPr>
            <w:r w:rsidRPr="0050685A">
              <w:rPr>
                <w:bCs/>
                <w:iCs/>
              </w:rPr>
              <w:t>755225,0</w:t>
            </w:r>
          </w:p>
        </w:tc>
        <w:tc>
          <w:tcPr>
            <w:tcW w:w="1302" w:type="dxa"/>
            <w:vAlign w:val="bottom"/>
          </w:tcPr>
          <w:p w:rsidR="007F186D" w:rsidRPr="0050685A" w:rsidRDefault="00F57AA3" w:rsidP="00E11EE8">
            <w:pPr>
              <w:ind w:right="142"/>
              <w:jc w:val="right"/>
              <w:rPr>
                <w:bCs/>
                <w:iCs/>
              </w:rPr>
            </w:pPr>
            <w:r w:rsidRPr="0050685A">
              <w:rPr>
                <w:bCs/>
                <w:iCs/>
              </w:rPr>
              <w:t>40167,1</w:t>
            </w:r>
          </w:p>
        </w:tc>
        <w:tc>
          <w:tcPr>
            <w:tcW w:w="1303" w:type="dxa"/>
            <w:vAlign w:val="bottom"/>
          </w:tcPr>
          <w:p w:rsidR="007F186D" w:rsidRPr="0050685A" w:rsidRDefault="00486CD2" w:rsidP="00A8531B">
            <w:pPr>
              <w:ind w:right="142"/>
              <w:jc w:val="right"/>
              <w:rPr>
                <w:bCs/>
                <w:iCs/>
              </w:rPr>
            </w:pPr>
            <w:r w:rsidRPr="0050685A">
              <w:rPr>
                <w:bCs/>
                <w:iCs/>
              </w:rPr>
              <w:t>45621,4</w:t>
            </w:r>
          </w:p>
        </w:tc>
      </w:tr>
      <w:tr w:rsidR="007F186D" w:rsidRPr="0050685A" w:rsidTr="007F186D">
        <w:trPr>
          <w:trHeight w:val="227"/>
          <w:jc w:val="center"/>
        </w:trPr>
        <w:tc>
          <w:tcPr>
            <w:tcW w:w="4927" w:type="dxa"/>
            <w:vAlign w:val="bottom"/>
          </w:tcPr>
          <w:p w:rsidR="007F186D" w:rsidRPr="0050685A" w:rsidRDefault="007F186D" w:rsidP="00E11EE8">
            <w:pPr>
              <w:pStyle w:val="a3"/>
              <w:ind w:left="511"/>
              <w:jc w:val="both"/>
              <w:rPr>
                <w:rFonts w:ascii="Times New Roman" w:hAnsi="Times New Roman"/>
                <w:bCs/>
                <w:iCs/>
                <w:sz w:val="20"/>
              </w:rPr>
            </w:pPr>
            <w:r w:rsidRPr="0050685A">
              <w:rPr>
                <w:rFonts w:ascii="Times New Roman" w:hAnsi="Times New Roman"/>
                <w:bCs/>
                <w:iCs/>
                <w:sz w:val="20"/>
              </w:rPr>
              <w:t>в том числе:</w:t>
            </w:r>
          </w:p>
        </w:tc>
        <w:tc>
          <w:tcPr>
            <w:tcW w:w="1302" w:type="dxa"/>
            <w:vAlign w:val="bottom"/>
          </w:tcPr>
          <w:p w:rsidR="007F186D" w:rsidRPr="0050685A" w:rsidRDefault="007F186D" w:rsidP="00E11EE8">
            <w:pPr>
              <w:pStyle w:val="a3"/>
              <w:ind w:right="142"/>
              <w:jc w:val="right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303" w:type="dxa"/>
            <w:vAlign w:val="bottom"/>
          </w:tcPr>
          <w:p w:rsidR="007F186D" w:rsidRPr="0050685A" w:rsidRDefault="007F186D" w:rsidP="00A8531B">
            <w:pPr>
              <w:pStyle w:val="a3"/>
              <w:ind w:right="142"/>
              <w:jc w:val="right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302" w:type="dxa"/>
            <w:vAlign w:val="bottom"/>
          </w:tcPr>
          <w:p w:rsidR="007F186D" w:rsidRPr="0050685A" w:rsidRDefault="007F186D" w:rsidP="00E11EE8">
            <w:pPr>
              <w:pStyle w:val="a3"/>
              <w:ind w:right="142"/>
              <w:jc w:val="right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303" w:type="dxa"/>
            <w:vAlign w:val="bottom"/>
          </w:tcPr>
          <w:p w:rsidR="007F186D" w:rsidRPr="0050685A" w:rsidRDefault="007F186D" w:rsidP="00A8531B">
            <w:pPr>
              <w:pStyle w:val="a3"/>
              <w:ind w:right="142"/>
              <w:jc w:val="right"/>
              <w:rPr>
                <w:rFonts w:ascii="Times New Roman" w:hAnsi="Times New Roman"/>
                <w:bCs/>
                <w:iCs/>
                <w:sz w:val="20"/>
              </w:rPr>
            </w:pPr>
          </w:p>
        </w:tc>
      </w:tr>
      <w:tr w:rsidR="007F186D" w:rsidRPr="0050685A" w:rsidTr="007F186D">
        <w:trPr>
          <w:trHeight w:val="227"/>
          <w:jc w:val="center"/>
        </w:trPr>
        <w:tc>
          <w:tcPr>
            <w:tcW w:w="4927" w:type="dxa"/>
            <w:vAlign w:val="bottom"/>
          </w:tcPr>
          <w:p w:rsidR="007F186D" w:rsidRPr="0050685A" w:rsidRDefault="007F186D" w:rsidP="00E11EE8">
            <w:pPr>
              <w:pStyle w:val="a3"/>
              <w:ind w:left="228"/>
              <w:jc w:val="both"/>
              <w:rPr>
                <w:rFonts w:ascii="Times New Roman" w:hAnsi="Times New Roman"/>
                <w:bCs/>
                <w:iCs/>
                <w:sz w:val="20"/>
              </w:rPr>
            </w:pPr>
            <w:r w:rsidRPr="0050685A">
              <w:rPr>
                <w:rFonts w:ascii="Times New Roman" w:hAnsi="Times New Roman"/>
                <w:bCs/>
                <w:iCs/>
                <w:sz w:val="20"/>
              </w:rPr>
              <w:t>кредиторская задолженность</w:t>
            </w:r>
          </w:p>
        </w:tc>
        <w:tc>
          <w:tcPr>
            <w:tcW w:w="1302" w:type="dxa"/>
            <w:vAlign w:val="bottom"/>
          </w:tcPr>
          <w:p w:rsidR="007F186D" w:rsidRPr="0050685A" w:rsidRDefault="00D6161B" w:rsidP="00D25BD3">
            <w:pPr>
              <w:ind w:right="142"/>
              <w:jc w:val="right"/>
            </w:pPr>
            <w:r w:rsidRPr="0050685A">
              <w:t>407502,6</w:t>
            </w:r>
          </w:p>
        </w:tc>
        <w:tc>
          <w:tcPr>
            <w:tcW w:w="1303" w:type="dxa"/>
            <w:vAlign w:val="bottom"/>
          </w:tcPr>
          <w:p w:rsidR="007F186D" w:rsidRPr="0050685A" w:rsidRDefault="00486CD2" w:rsidP="00D25BD3">
            <w:pPr>
              <w:pStyle w:val="a3"/>
              <w:ind w:right="142"/>
              <w:jc w:val="right"/>
              <w:rPr>
                <w:rFonts w:ascii="Times New Roman" w:hAnsi="Times New Roman"/>
                <w:bCs/>
                <w:iCs/>
                <w:sz w:val="20"/>
              </w:rPr>
            </w:pPr>
            <w:r w:rsidRPr="0050685A">
              <w:rPr>
                <w:rFonts w:ascii="Times New Roman" w:hAnsi="Times New Roman"/>
                <w:bCs/>
                <w:iCs/>
                <w:sz w:val="20"/>
              </w:rPr>
              <w:t>393293,6</w:t>
            </w:r>
          </w:p>
        </w:tc>
        <w:tc>
          <w:tcPr>
            <w:tcW w:w="1302" w:type="dxa"/>
            <w:vAlign w:val="bottom"/>
          </w:tcPr>
          <w:p w:rsidR="007F186D" w:rsidRPr="0050685A" w:rsidRDefault="00D6161B" w:rsidP="00D25BD3">
            <w:pPr>
              <w:ind w:right="142"/>
              <w:jc w:val="right"/>
            </w:pPr>
            <w:r w:rsidRPr="0050685A">
              <w:t>27901,6</w:t>
            </w:r>
          </w:p>
        </w:tc>
        <w:tc>
          <w:tcPr>
            <w:tcW w:w="1303" w:type="dxa"/>
            <w:vAlign w:val="bottom"/>
          </w:tcPr>
          <w:p w:rsidR="007F186D" w:rsidRPr="0050685A" w:rsidRDefault="00486CD2" w:rsidP="00A8531B">
            <w:pPr>
              <w:pStyle w:val="a3"/>
              <w:ind w:right="142"/>
              <w:jc w:val="right"/>
              <w:rPr>
                <w:rFonts w:ascii="Times New Roman" w:hAnsi="Times New Roman"/>
                <w:bCs/>
                <w:iCs/>
                <w:sz w:val="20"/>
              </w:rPr>
            </w:pPr>
            <w:r w:rsidRPr="0050685A">
              <w:rPr>
                <w:rFonts w:ascii="Times New Roman" w:hAnsi="Times New Roman"/>
                <w:bCs/>
                <w:iCs/>
                <w:sz w:val="20"/>
              </w:rPr>
              <w:t>33114,2</w:t>
            </w:r>
          </w:p>
        </w:tc>
      </w:tr>
      <w:tr w:rsidR="007F186D" w:rsidRPr="0050685A" w:rsidTr="007F186D">
        <w:trPr>
          <w:trHeight w:val="229"/>
          <w:jc w:val="center"/>
        </w:trPr>
        <w:tc>
          <w:tcPr>
            <w:tcW w:w="4927" w:type="dxa"/>
          </w:tcPr>
          <w:p w:rsidR="007F186D" w:rsidRPr="0050685A" w:rsidRDefault="007F186D" w:rsidP="00E11EE8">
            <w:pPr>
              <w:pStyle w:val="a3"/>
              <w:ind w:left="228"/>
              <w:rPr>
                <w:rFonts w:ascii="Times New Roman" w:hAnsi="Times New Roman"/>
                <w:bCs/>
                <w:iCs/>
                <w:sz w:val="20"/>
              </w:rPr>
            </w:pPr>
            <w:r w:rsidRPr="0050685A">
              <w:rPr>
                <w:rFonts w:ascii="Times New Roman" w:hAnsi="Times New Roman"/>
                <w:bCs/>
                <w:iCs/>
                <w:sz w:val="20"/>
              </w:rPr>
              <w:t>задолженность по кредитам банков и займам</w:t>
            </w:r>
          </w:p>
        </w:tc>
        <w:tc>
          <w:tcPr>
            <w:tcW w:w="1302" w:type="dxa"/>
            <w:vAlign w:val="bottom"/>
          </w:tcPr>
          <w:p w:rsidR="007F186D" w:rsidRPr="0050685A" w:rsidRDefault="00C04F5D" w:rsidP="00E11EE8">
            <w:pPr>
              <w:ind w:right="142"/>
              <w:jc w:val="right"/>
              <w:rPr>
                <w:bCs/>
                <w:iCs/>
              </w:rPr>
            </w:pPr>
            <w:r w:rsidRPr="0050685A">
              <w:rPr>
                <w:bCs/>
                <w:iCs/>
              </w:rPr>
              <w:t>420585,8</w:t>
            </w:r>
          </w:p>
        </w:tc>
        <w:tc>
          <w:tcPr>
            <w:tcW w:w="1303" w:type="dxa"/>
            <w:vAlign w:val="bottom"/>
          </w:tcPr>
          <w:p w:rsidR="007F186D" w:rsidRPr="0050685A" w:rsidRDefault="00486CD2" w:rsidP="00A8531B">
            <w:pPr>
              <w:ind w:right="142"/>
              <w:jc w:val="right"/>
              <w:rPr>
                <w:bCs/>
                <w:iCs/>
              </w:rPr>
            </w:pPr>
            <w:r w:rsidRPr="0050685A">
              <w:rPr>
                <w:bCs/>
                <w:iCs/>
              </w:rPr>
              <w:t>361931,5</w:t>
            </w:r>
          </w:p>
        </w:tc>
        <w:tc>
          <w:tcPr>
            <w:tcW w:w="1302" w:type="dxa"/>
            <w:vAlign w:val="bottom"/>
          </w:tcPr>
          <w:p w:rsidR="007F186D" w:rsidRPr="0050685A" w:rsidRDefault="00C04F5D" w:rsidP="00E11EE8">
            <w:pPr>
              <w:ind w:right="142"/>
              <w:jc w:val="right"/>
              <w:rPr>
                <w:bCs/>
                <w:iCs/>
              </w:rPr>
            </w:pPr>
            <w:r w:rsidRPr="0050685A">
              <w:rPr>
                <w:bCs/>
                <w:iCs/>
              </w:rPr>
              <w:t>12265,4</w:t>
            </w:r>
          </w:p>
        </w:tc>
        <w:tc>
          <w:tcPr>
            <w:tcW w:w="1303" w:type="dxa"/>
            <w:vAlign w:val="bottom"/>
          </w:tcPr>
          <w:p w:rsidR="007F186D" w:rsidRPr="0050685A" w:rsidRDefault="00486CD2" w:rsidP="00A8531B">
            <w:pPr>
              <w:ind w:right="142"/>
              <w:jc w:val="right"/>
              <w:rPr>
                <w:bCs/>
                <w:iCs/>
              </w:rPr>
            </w:pPr>
            <w:r w:rsidRPr="0050685A">
              <w:rPr>
                <w:bCs/>
                <w:iCs/>
              </w:rPr>
              <w:t>12507,2</w:t>
            </w:r>
          </w:p>
        </w:tc>
      </w:tr>
    </w:tbl>
    <w:p w:rsidR="00E758EB" w:rsidRPr="0050685A" w:rsidRDefault="00E758EB" w:rsidP="00E758EB">
      <w:pPr>
        <w:pStyle w:val="a3"/>
        <w:spacing w:before="120"/>
        <w:ind w:firstLine="720"/>
        <w:jc w:val="both"/>
        <w:rPr>
          <w:rFonts w:ascii="Times New Roman" w:hAnsi="Times New Roman"/>
          <w:i/>
          <w:szCs w:val="24"/>
        </w:rPr>
      </w:pPr>
      <w:r w:rsidRPr="0050685A">
        <w:rPr>
          <w:rFonts w:ascii="Times New Roman" w:hAnsi="Times New Roman"/>
          <w:iCs/>
          <w:spacing w:val="-2"/>
          <w:szCs w:val="24"/>
        </w:rPr>
        <w:t xml:space="preserve">По сравнению с соответствующим периодом 2021 года объём кредиторской задолженности увеличился на </w:t>
      </w:r>
      <w:r w:rsidR="00965194" w:rsidRPr="0050685A">
        <w:rPr>
          <w:rFonts w:ascii="Times New Roman" w:hAnsi="Times New Roman"/>
          <w:iCs/>
          <w:spacing w:val="-2"/>
          <w:szCs w:val="24"/>
        </w:rPr>
        <w:t>3,</w:t>
      </w:r>
      <w:r w:rsidR="0027502D" w:rsidRPr="0050685A">
        <w:rPr>
          <w:rFonts w:ascii="Times New Roman" w:hAnsi="Times New Roman"/>
          <w:iCs/>
          <w:spacing w:val="-2"/>
          <w:szCs w:val="24"/>
        </w:rPr>
        <w:t>6</w:t>
      </w:r>
      <w:r w:rsidRPr="0050685A">
        <w:rPr>
          <w:rFonts w:ascii="Times New Roman" w:hAnsi="Times New Roman"/>
          <w:iCs/>
          <w:spacing w:val="-2"/>
          <w:szCs w:val="24"/>
        </w:rPr>
        <w:t xml:space="preserve">%, одновременно просроченная составляющая сократилась на </w:t>
      </w:r>
      <w:r w:rsidR="0027502D" w:rsidRPr="0050685A">
        <w:rPr>
          <w:rFonts w:ascii="Times New Roman" w:hAnsi="Times New Roman"/>
          <w:iCs/>
          <w:spacing w:val="-2"/>
          <w:szCs w:val="24"/>
        </w:rPr>
        <w:t>15,7</w:t>
      </w:r>
      <w:r w:rsidR="00965194" w:rsidRPr="0050685A">
        <w:rPr>
          <w:rFonts w:ascii="Times New Roman" w:hAnsi="Times New Roman"/>
          <w:iCs/>
          <w:spacing w:val="-2"/>
          <w:szCs w:val="24"/>
        </w:rPr>
        <w:t>%.</w:t>
      </w:r>
      <w:r w:rsidRPr="0050685A">
        <w:rPr>
          <w:rFonts w:ascii="Times New Roman" w:hAnsi="Times New Roman"/>
          <w:iCs/>
          <w:spacing w:val="-2"/>
          <w:szCs w:val="24"/>
        </w:rPr>
        <w:t xml:space="preserve"> </w:t>
      </w:r>
      <w:r w:rsidRPr="0050685A">
        <w:rPr>
          <w:rFonts w:ascii="Times New Roman" w:hAnsi="Times New Roman"/>
          <w:szCs w:val="24"/>
        </w:rPr>
        <w:t xml:space="preserve">В общем объёме просроченной кредиторской задолженности </w:t>
      </w:r>
      <w:r w:rsidR="00B445B4" w:rsidRPr="0050685A">
        <w:rPr>
          <w:rFonts w:ascii="Times New Roman" w:hAnsi="Times New Roman"/>
          <w:szCs w:val="24"/>
        </w:rPr>
        <w:t>86,0</w:t>
      </w:r>
      <w:r w:rsidRPr="0050685A">
        <w:rPr>
          <w:rFonts w:ascii="Times New Roman" w:hAnsi="Times New Roman"/>
          <w:szCs w:val="24"/>
        </w:rPr>
        <w:t xml:space="preserve">% </w:t>
      </w:r>
      <w:r w:rsidRPr="0050685A">
        <w:rPr>
          <w:rFonts w:ascii="Times New Roman" w:hAnsi="Times New Roman"/>
          <w:iCs/>
          <w:spacing w:val="-2"/>
          <w:szCs w:val="24"/>
        </w:rPr>
        <w:t xml:space="preserve">приходилось на обрабатывающие производства и </w:t>
      </w:r>
      <w:r w:rsidR="00B445B4" w:rsidRPr="0050685A">
        <w:rPr>
          <w:rFonts w:ascii="Times New Roman" w:hAnsi="Times New Roman"/>
          <w:iCs/>
          <w:spacing w:val="-2"/>
          <w:szCs w:val="24"/>
        </w:rPr>
        <w:t>3,4</w:t>
      </w:r>
      <w:r w:rsidRPr="0050685A">
        <w:rPr>
          <w:rFonts w:ascii="Times New Roman" w:hAnsi="Times New Roman"/>
          <w:iCs/>
          <w:spacing w:val="-2"/>
          <w:szCs w:val="24"/>
        </w:rPr>
        <w:t>% на организации, осуществляющие деятельность в области информации и связи. К</w:t>
      </w:r>
      <w:r w:rsidRPr="0050685A">
        <w:rPr>
          <w:rFonts w:ascii="Times New Roman" w:hAnsi="Times New Roman"/>
          <w:szCs w:val="24"/>
        </w:rPr>
        <w:t>ак и в предыдущие годы, задолженность поставщикам остаётся основным элементом просроченной кредиторской задолженности</w:t>
      </w:r>
      <w:r w:rsidRPr="0050685A">
        <w:rPr>
          <w:rFonts w:ascii="Times New Roman" w:hAnsi="Times New Roman"/>
          <w:i/>
          <w:szCs w:val="24"/>
        </w:rPr>
        <w:t>.</w:t>
      </w:r>
    </w:p>
    <w:p w:rsidR="00E758EB" w:rsidRPr="0050685A" w:rsidRDefault="00E758EB" w:rsidP="00E758EB">
      <w:pPr>
        <w:spacing w:before="120"/>
        <w:jc w:val="center"/>
        <w:rPr>
          <w:b/>
          <w:sz w:val="24"/>
          <w:szCs w:val="24"/>
        </w:rPr>
      </w:pPr>
      <w:r w:rsidRPr="0050685A">
        <w:rPr>
          <w:b/>
          <w:sz w:val="24"/>
          <w:szCs w:val="24"/>
        </w:rPr>
        <w:t>Структура просроченной кредиторской задолженности</w:t>
      </w:r>
    </w:p>
    <w:p w:rsidR="00E758EB" w:rsidRPr="0050685A" w:rsidRDefault="00E758EB" w:rsidP="00E758EB">
      <w:pPr>
        <w:jc w:val="center"/>
        <w:rPr>
          <w:b/>
          <w:sz w:val="24"/>
          <w:szCs w:val="24"/>
        </w:rPr>
      </w:pPr>
      <w:r w:rsidRPr="0050685A">
        <w:rPr>
          <w:b/>
          <w:sz w:val="24"/>
          <w:szCs w:val="24"/>
        </w:rPr>
        <w:t>(в процентах)</w:t>
      </w:r>
    </w:p>
    <w:p w:rsidR="00E758EB" w:rsidRPr="0050685A" w:rsidRDefault="00E758EB" w:rsidP="00E758EB">
      <w:pPr>
        <w:spacing w:before="200"/>
        <w:ind w:firstLine="709"/>
        <w:jc w:val="both"/>
      </w:pPr>
      <w:r w:rsidRPr="0050685A">
        <w:rPr>
          <w:noProof/>
          <w:color w:val="DEDEDE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5080</wp:posOffset>
            </wp:positionV>
            <wp:extent cx="6233160" cy="1572260"/>
            <wp:effectExtent l="0" t="0" r="0" b="0"/>
            <wp:wrapSquare wrapText="right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Pr="0050685A">
        <w:rPr>
          <w:sz w:val="24"/>
          <w:szCs w:val="24"/>
        </w:rPr>
        <w:t xml:space="preserve">По состоянию на 1 </w:t>
      </w:r>
      <w:r w:rsidR="004F59A8" w:rsidRPr="0050685A">
        <w:rPr>
          <w:sz w:val="24"/>
          <w:szCs w:val="24"/>
        </w:rPr>
        <w:t>января 2023</w:t>
      </w:r>
      <w:r w:rsidRPr="0050685A">
        <w:rPr>
          <w:sz w:val="24"/>
          <w:szCs w:val="24"/>
        </w:rPr>
        <w:t xml:space="preserve"> года просроченная кредиторская задолженность на </w:t>
      </w:r>
      <w:r w:rsidR="00637B87" w:rsidRPr="0050685A">
        <w:rPr>
          <w:sz w:val="24"/>
          <w:szCs w:val="24"/>
        </w:rPr>
        <w:t>5828,7</w:t>
      </w:r>
      <w:r w:rsidRPr="0050685A">
        <w:rPr>
          <w:sz w:val="24"/>
          <w:szCs w:val="24"/>
        </w:rPr>
        <w:t xml:space="preserve"> млн рублей превысила просроченную дебиторскую составляющую </w:t>
      </w:r>
      <w:r w:rsidRPr="0050685A">
        <w:rPr>
          <w:sz w:val="24"/>
          <w:szCs w:val="24"/>
        </w:rPr>
        <w:br/>
        <w:t xml:space="preserve">(на 1 </w:t>
      </w:r>
      <w:r w:rsidR="00637B87" w:rsidRPr="0050685A">
        <w:rPr>
          <w:sz w:val="24"/>
          <w:szCs w:val="24"/>
        </w:rPr>
        <w:t>января 2022</w:t>
      </w:r>
      <w:r w:rsidRPr="0050685A">
        <w:rPr>
          <w:sz w:val="24"/>
          <w:szCs w:val="24"/>
        </w:rPr>
        <w:t xml:space="preserve"> года просроченная дебиторская задолженность сложилась ниже просроченной кредиторской составляющей на </w:t>
      </w:r>
      <w:r w:rsidR="00637B87" w:rsidRPr="0050685A">
        <w:rPr>
          <w:sz w:val="24"/>
          <w:szCs w:val="24"/>
        </w:rPr>
        <w:t>12597,7</w:t>
      </w:r>
      <w:r w:rsidRPr="0050685A">
        <w:rPr>
          <w:sz w:val="24"/>
          <w:szCs w:val="24"/>
        </w:rPr>
        <w:t xml:space="preserve">  млн рублей). </w:t>
      </w:r>
    </w:p>
    <w:p w:rsidR="00E758EB" w:rsidRPr="0050685A" w:rsidRDefault="00E758EB" w:rsidP="00E758EB">
      <w:pPr>
        <w:ind w:firstLine="709"/>
        <w:jc w:val="both"/>
        <w:rPr>
          <w:iCs/>
          <w:spacing w:val="-2"/>
          <w:sz w:val="24"/>
          <w:szCs w:val="24"/>
        </w:rPr>
      </w:pPr>
      <w:r w:rsidRPr="0050685A">
        <w:rPr>
          <w:sz w:val="24"/>
          <w:szCs w:val="24"/>
        </w:rPr>
        <w:t xml:space="preserve">Дебиторская задолженность </w:t>
      </w:r>
      <w:r w:rsidR="009155E5" w:rsidRPr="0050685A">
        <w:rPr>
          <w:sz w:val="24"/>
          <w:szCs w:val="24"/>
        </w:rPr>
        <w:t>5</w:t>
      </w:r>
      <w:r w:rsidR="00E541A3" w:rsidRPr="0050685A">
        <w:rPr>
          <w:sz w:val="24"/>
          <w:szCs w:val="24"/>
        </w:rPr>
        <w:t>48</w:t>
      </w:r>
      <w:r w:rsidRPr="0050685A">
        <w:rPr>
          <w:sz w:val="24"/>
          <w:szCs w:val="24"/>
        </w:rPr>
        <w:t xml:space="preserve"> организаций краевого центра к началу </w:t>
      </w:r>
      <w:r w:rsidR="00E541A3" w:rsidRPr="0050685A">
        <w:rPr>
          <w:sz w:val="24"/>
          <w:szCs w:val="24"/>
        </w:rPr>
        <w:t>января 2023</w:t>
      </w:r>
      <w:r w:rsidRPr="0050685A">
        <w:rPr>
          <w:sz w:val="24"/>
          <w:szCs w:val="24"/>
        </w:rPr>
        <w:t xml:space="preserve"> года выразилась в сумме </w:t>
      </w:r>
      <w:r w:rsidR="00E541A3" w:rsidRPr="0050685A">
        <w:rPr>
          <w:sz w:val="24"/>
          <w:szCs w:val="24"/>
        </w:rPr>
        <w:t>535285,8</w:t>
      </w:r>
      <w:r w:rsidR="00B5529E" w:rsidRPr="0050685A">
        <w:rPr>
          <w:sz w:val="24"/>
          <w:szCs w:val="24"/>
        </w:rPr>
        <w:t xml:space="preserve"> </w:t>
      </w:r>
      <w:r w:rsidRPr="0050685A">
        <w:rPr>
          <w:sz w:val="24"/>
          <w:szCs w:val="24"/>
        </w:rPr>
        <w:t>млн рублей (</w:t>
      </w:r>
      <w:r w:rsidR="00E541A3" w:rsidRPr="0050685A">
        <w:rPr>
          <w:sz w:val="24"/>
          <w:szCs w:val="24"/>
        </w:rPr>
        <w:t>170,6</w:t>
      </w:r>
      <w:r w:rsidRPr="0050685A">
        <w:rPr>
          <w:sz w:val="24"/>
          <w:szCs w:val="24"/>
        </w:rPr>
        <w:t xml:space="preserve">% к уровню 2021 года). Объём просроченных неплатежей увеличился до </w:t>
      </w:r>
      <w:r w:rsidR="00714CEB" w:rsidRPr="0050685A">
        <w:rPr>
          <w:sz w:val="24"/>
          <w:szCs w:val="24"/>
        </w:rPr>
        <w:t>22073</w:t>
      </w:r>
      <w:r w:rsidR="00E44CDA" w:rsidRPr="0050685A">
        <w:rPr>
          <w:sz w:val="24"/>
          <w:szCs w:val="24"/>
        </w:rPr>
        <w:t>,0</w:t>
      </w:r>
      <w:r w:rsidRPr="0050685A">
        <w:rPr>
          <w:sz w:val="24"/>
          <w:szCs w:val="24"/>
        </w:rPr>
        <w:t xml:space="preserve"> млн рублей (на </w:t>
      </w:r>
      <w:r w:rsidR="00714CEB" w:rsidRPr="0050685A">
        <w:rPr>
          <w:sz w:val="24"/>
          <w:szCs w:val="24"/>
        </w:rPr>
        <w:t>7,6</w:t>
      </w:r>
      <w:r w:rsidRPr="0050685A">
        <w:rPr>
          <w:sz w:val="24"/>
          <w:szCs w:val="24"/>
        </w:rPr>
        <w:t>%). Н</w:t>
      </w:r>
      <w:r w:rsidRPr="0050685A">
        <w:rPr>
          <w:spacing w:val="-2"/>
          <w:sz w:val="24"/>
          <w:szCs w:val="24"/>
        </w:rPr>
        <w:t xml:space="preserve">аибольшие доли просроченной задолженности </w:t>
      </w:r>
      <w:r w:rsidRPr="0050685A">
        <w:rPr>
          <w:iCs/>
          <w:spacing w:val="-2"/>
          <w:sz w:val="24"/>
          <w:szCs w:val="24"/>
        </w:rPr>
        <w:t>принадлежали обрабатывающим производствам (</w:t>
      </w:r>
      <w:r w:rsidR="004C67CF" w:rsidRPr="0050685A">
        <w:rPr>
          <w:iCs/>
          <w:spacing w:val="-2"/>
          <w:sz w:val="24"/>
          <w:szCs w:val="24"/>
        </w:rPr>
        <w:t>61,3</w:t>
      </w:r>
      <w:r w:rsidR="00AE6CA6" w:rsidRPr="0050685A">
        <w:rPr>
          <w:iCs/>
          <w:spacing w:val="-2"/>
          <w:sz w:val="24"/>
          <w:szCs w:val="24"/>
        </w:rPr>
        <w:t xml:space="preserve">%) и организациям, занятым в области информации и связи </w:t>
      </w:r>
      <w:r w:rsidRPr="0050685A">
        <w:rPr>
          <w:iCs/>
          <w:spacing w:val="-2"/>
          <w:sz w:val="24"/>
          <w:szCs w:val="24"/>
        </w:rPr>
        <w:t>(</w:t>
      </w:r>
      <w:r w:rsidR="00737D3A" w:rsidRPr="0050685A">
        <w:rPr>
          <w:iCs/>
          <w:spacing w:val="-2"/>
          <w:sz w:val="24"/>
          <w:szCs w:val="24"/>
        </w:rPr>
        <w:t>14,7</w:t>
      </w:r>
      <w:r w:rsidRPr="0050685A">
        <w:rPr>
          <w:spacing w:val="-2"/>
          <w:sz w:val="24"/>
          <w:szCs w:val="24"/>
        </w:rPr>
        <w:t>%</w:t>
      </w:r>
      <w:r w:rsidRPr="0050685A">
        <w:rPr>
          <w:iCs/>
          <w:spacing w:val="-2"/>
          <w:sz w:val="24"/>
          <w:szCs w:val="24"/>
        </w:rPr>
        <w:t>). На отчётную дату п</w:t>
      </w:r>
      <w:r w:rsidRPr="0050685A">
        <w:rPr>
          <w:sz w:val="24"/>
          <w:szCs w:val="24"/>
        </w:rPr>
        <w:t xml:space="preserve">росроченная задолженность отмечалась у </w:t>
      </w:r>
      <w:r w:rsidR="006F6F57" w:rsidRPr="0050685A">
        <w:rPr>
          <w:sz w:val="24"/>
          <w:szCs w:val="24"/>
        </w:rPr>
        <w:t>24,6</w:t>
      </w:r>
      <w:r w:rsidRPr="0050685A">
        <w:rPr>
          <w:sz w:val="24"/>
          <w:szCs w:val="24"/>
        </w:rPr>
        <w:t>% организаций от числа обследованных.</w:t>
      </w:r>
    </w:p>
    <w:p w:rsidR="00E758EB" w:rsidRPr="0050685A" w:rsidRDefault="00E758EB" w:rsidP="00E758EB">
      <w:pPr>
        <w:ind w:firstLine="709"/>
        <w:jc w:val="both"/>
        <w:rPr>
          <w:sz w:val="24"/>
          <w:szCs w:val="24"/>
        </w:rPr>
      </w:pPr>
      <w:r w:rsidRPr="0050685A">
        <w:rPr>
          <w:spacing w:val="-2"/>
          <w:sz w:val="24"/>
          <w:szCs w:val="24"/>
        </w:rPr>
        <w:t xml:space="preserve">В структуре просроченной дебиторской задолженности </w:t>
      </w:r>
      <w:r w:rsidR="007A27F7" w:rsidRPr="0050685A">
        <w:rPr>
          <w:spacing w:val="-2"/>
          <w:sz w:val="24"/>
          <w:szCs w:val="24"/>
        </w:rPr>
        <w:t>84,7</w:t>
      </w:r>
      <w:r w:rsidRPr="0050685A">
        <w:rPr>
          <w:spacing w:val="-2"/>
          <w:sz w:val="24"/>
          <w:szCs w:val="24"/>
        </w:rPr>
        <w:t xml:space="preserve">% приходилась на </w:t>
      </w:r>
      <w:r w:rsidRPr="0050685A">
        <w:rPr>
          <w:spacing w:val="-2"/>
          <w:sz w:val="24"/>
          <w:szCs w:val="24"/>
        </w:rPr>
        <w:br/>
        <w:t xml:space="preserve">задолженность покупателей, доля задолженности государственных заказчиков составила </w:t>
      </w:r>
      <w:r w:rsidR="007A27F7" w:rsidRPr="0050685A">
        <w:rPr>
          <w:spacing w:val="-2"/>
          <w:sz w:val="24"/>
          <w:szCs w:val="24"/>
        </w:rPr>
        <w:t>4,9</w:t>
      </w:r>
      <w:r w:rsidRPr="0050685A">
        <w:rPr>
          <w:spacing w:val="-2"/>
          <w:sz w:val="24"/>
          <w:szCs w:val="24"/>
        </w:rPr>
        <w:t xml:space="preserve">% (на </w:t>
      </w:r>
      <w:r w:rsidR="007A27F7" w:rsidRPr="0050685A">
        <w:rPr>
          <w:spacing w:val="-2"/>
          <w:sz w:val="24"/>
          <w:szCs w:val="24"/>
        </w:rPr>
        <w:t>01.01.2022г</w:t>
      </w:r>
      <w:r w:rsidRPr="0050685A">
        <w:rPr>
          <w:spacing w:val="-2"/>
          <w:sz w:val="24"/>
          <w:szCs w:val="24"/>
        </w:rPr>
        <w:t xml:space="preserve">. – </w:t>
      </w:r>
      <w:r w:rsidR="007A27F7" w:rsidRPr="0050685A">
        <w:rPr>
          <w:spacing w:val="-2"/>
          <w:sz w:val="24"/>
          <w:szCs w:val="24"/>
        </w:rPr>
        <w:t>80,5</w:t>
      </w:r>
      <w:r w:rsidRPr="0050685A">
        <w:rPr>
          <w:spacing w:val="-2"/>
          <w:sz w:val="24"/>
          <w:szCs w:val="24"/>
        </w:rPr>
        <w:t xml:space="preserve">% и </w:t>
      </w:r>
      <w:r w:rsidR="007A27F7" w:rsidRPr="0050685A">
        <w:rPr>
          <w:spacing w:val="-2"/>
          <w:sz w:val="24"/>
          <w:szCs w:val="24"/>
        </w:rPr>
        <w:t>4,1</w:t>
      </w:r>
      <w:r w:rsidRPr="0050685A">
        <w:rPr>
          <w:spacing w:val="-2"/>
          <w:sz w:val="24"/>
          <w:szCs w:val="24"/>
        </w:rPr>
        <w:t>% соответственно).</w:t>
      </w:r>
    </w:p>
    <w:p w:rsidR="00E758EB" w:rsidRPr="0050685A" w:rsidRDefault="00E758EB" w:rsidP="00E758EB">
      <w:pPr>
        <w:pStyle w:val="a3"/>
        <w:spacing w:before="120" w:after="120"/>
        <w:jc w:val="center"/>
        <w:rPr>
          <w:rFonts w:ascii="Times New Roman" w:hAnsi="Times New Roman"/>
          <w:b/>
          <w:spacing w:val="-2"/>
          <w:szCs w:val="24"/>
        </w:rPr>
      </w:pPr>
      <w:r w:rsidRPr="0050685A">
        <w:rPr>
          <w:rFonts w:ascii="Times New Roman" w:hAnsi="Times New Roman"/>
          <w:b/>
          <w:spacing w:val="-2"/>
          <w:szCs w:val="24"/>
        </w:rPr>
        <w:t>Основные финансовые показатели деятельности</w:t>
      </w:r>
      <w:r w:rsidR="00BF5D75" w:rsidRPr="0050685A">
        <w:rPr>
          <w:rFonts w:ascii="Times New Roman" w:hAnsi="Times New Roman"/>
          <w:b/>
          <w:spacing w:val="-2"/>
          <w:szCs w:val="24"/>
        </w:rPr>
        <w:t xml:space="preserve"> организаций г. Перми </w:t>
      </w:r>
      <w:r w:rsidR="00BF5D75" w:rsidRPr="0050685A">
        <w:rPr>
          <w:rFonts w:ascii="Times New Roman" w:hAnsi="Times New Roman"/>
          <w:b/>
          <w:spacing w:val="-2"/>
          <w:szCs w:val="24"/>
        </w:rPr>
        <w:br/>
        <w:t>в январе-</w:t>
      </w:r>
      <w:r w:rsidR="008C4BE3" w:rsidRPr="0050685A">
        <w:rPr>
          <w:rFonts w:ascii="Times New Roman" w:hAnsi="Times New Roman"/>
          <w:b/>
          <w:spacing w:val="-2"/>
          <w:szCs w:val="24"/>
        </w:rPr>
        <w:t>декабре</w:t>
      </w:r>
      <w:r w:rsidRPr="0050685A">
        <w:rPr>
          <w:rFonts w:ascii="Times New Roman" w:hAnsi="Times New Roman"/>
          <w:b/>
          <w:spacing w:val="-2"/>
          <w:szCs w:val="24"/>
        </w:rPr>
        <w:t xml:space="preserve"> 2022 года</w:t>
      </w:r>
    </w:p>
    <w:p w:rsidR="00E758EB" w:rsidRPr="0050685A" w:rsidRDefault="00E758EB" w:rsidP="00E758EB">
      <w:pPr>
        <w:pStyle w:val="a3"/>
        <w:ind w:right="283" w:firstLine="720"/>
        <w:jc w:val="right"/>
        <w:rPr>
          <w:rFonts w:ascii="Times New Roman" w:hAnsi="Times New Roman"/>
          <w:iCs/>
          <w:sz w:val="20"/>
        </w:rPr>
      </w:pPr>
      <w:r w:rsidRPr="0050685A">
        <w:rPr>
          <w:rFonts w:ascii="Times New Roman" w:hAnsi="Times New Roman"/>
          <w:iCs/>
          <w:sz w:val="20"/>
        </w:rPr>
        <w:t>млн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6"/>
        <w:gridCol w:w="1418"/>
        <w:gridCol w:w="7"/>
        <w:gridCol w:w="1354"/>
        <w:gridCol w:w="9"/>
        <w:gridCol w:w="1352"/>
        <w:gridCol w:w="11"/>
        <w:gridCol w:w="1350"/>
        <w:gridCol w:w="13"/>
        <w:gridCol w:w="1349"/>
        <w:gridCol w:w="15"/>
      </w:tblGrid>
      <w:tr w:rsidR="00E758EB" w:rsidRPr="0050685A" w:rsidTr="00E11EE8">
        <w:trPr>
          <w:gridAfter w:val="1"/>
          <w:wAfter w:w="15" w:type="dxa"/>
          <w:cantSplit/>
          <w:trHeight w:val="227"/>
          <w:jc w:val="center"/>
        </w:trPr>
        <w:tc>
          <w:tcPr>
            <w:tcW w:w="2896" w:type="dxa"/>
            <w:vMerge w:val="restart"/>
            <w:shd w:val="clear" w:color="auto" w:fill="auto"/>
          </w:tcPr>
          <w:p w:rsidR="00E758EB" w:rsidRPr="0050685A" w:rsidRDefault="00E758EB" w:rsidP="00E11EE8">
            <w:pPr>
              <w:pStyle w:val="a3"/>
              <w:ind w:right="-108"/>
              <w:jc w:val="righ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E758EB" w:rsidRPr="0050685A" w:rsidRDefault="00E758EB" w:rsidP="00E11EE8">
            <w:pPr>
              <w:pStyle w:val="a3"/>
              <w:ind w:left="-57" w:right="-57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50685A">
              <w:rPr>
                <w:rFonts w:ascii="Times New Roman" w:hAnsi="Times New Roman"/>
                <w:i/>
                <w:iCs/>
                <w:sz w:val="20"/>
              </w:rPr>
              <w:t>Сальдирован</w:t>
            </w:r>
            <w:r w:rsidR="00F37473" w:rsidRPr="0050685A">
              <w:rPr>
                <w:rFonts w:ascii="Times New Roman" w:hAnsi="Times New Roman"/>
                <w:i/>
                <w:iCs/>
                <w:sz w:val="20"/>
              </w:rPr>
              <w:t>-</w:t>
            </w:r>
            <w:r w:rsidRPr="0050685A">
              <w:rPr>
                <w:rFonts w:ascii="Times New Roman" w:hAnsi="Times New Roman"/>
                <w:i/>
                <w:iCs/>
                <w:sz w:val="20"/>
              </w:rPr>
              <w:t>ный</w:t>
            </w:r>
            <w:r w:rsidRPr="0050685A">
              <w:rPr>
                <w:rFonts w:ascii="Times New Roman" w:hAnsi="Times New Roman"/>
                <w:i/>
                <w:iCs/>
                <w:sz w:val="20"/>
              </w:rPr>
              <w:br/>
              <w:t>финансовый результат</w:t>
            </w:r>
          </w:p>
        </w:tc>
        <w:tc>
          <w:tcPr>
            <w:tcW w:w="2722" w:type="dxa"/>
            <w:gridSpan w:val="4"/>
          </w:tcPr>
          <w:p w:rsidR="00E758EB" w:rsidRPr="0050685A" w:rsidRDefault="00E758EB" w:rsidP="00E11EE8">
            <w:pPr>
              <w:pStyle w:val="a3"/>
              <w:ind w:left="-57" w:right="-57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50685A">
              <w:rPr>
                <w:rFonts w:ascii="Times New Roman" w:hAnsi="Times New Roman"/>
                <w:i/>
                <w:iCs/>
                <w:sz w:val="20"/>
              </w:rPr>
              <w:t xml:space="preserve">Кредиторская </w:t>
            </w:r>
            <w:r w:rsidRPr="0050685A">
              <w:rPr>
                <w:rFonts w:ascii="Times New Roman" w:hAnsi="Times New Roman"/>
                <w:i/>
                <w:iCs/>
                <w:sz w:val="20"/>
              </w:rPr>
              <w:br/>
              <w:t>задолженность</w:t>
            </w:r>
          </w:p>
        </w:tc>
        <w:tc>
          <w:tcPr>
            <w:tcW w:w="2723" w:type="dxa"/>
            <w:gridSpan w:val="4"/>
          </w:tcPr>
          <w:p w:rsidR="00E758EB" w:rsidRPr="0050685A" w:rsidRDefault="00E758EB" w:rsidP="00E11EE8">
            <w:pPr>
              <w:pStyle w:val="a3"/>
              <w:ind w:left="-57" w:right="-57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50685A">
              <w:rPr>
                <w:rFonts w:ascii="Times New Roman" w:hAnsi="Times New Roman"/>
                <w:i/>
                <w:iCs/>
                <w:sz w:val="20"/>
              </w:rPr>
              <w:t>Дебиторская</w:t>
            </w:r>
            <w:r w:rsidRPr="0050685A">
              <w:rPr>
                <w:rFonts w:ascii="Times New Roman" w:hAnsi="Times New Roman"/>
                <w:i/>
                <w:iCs/>
                <w:sz w:val="20"/>
              </w:rPr>
              <w:br/>
              <w:t>задолженность</w:t>
            </w:r>
          </w:p>
        </w:tc>
      </w:tr>
      <w:tr w:rsidR="00E758EB" w:rsidRPr="0050685A" w:rsidTr="00E11EE8">
        <w:trPr>
          <w:gridAfter w:val="1"/>
          <w:wAfter w:w="15" w:type="dxa"/>
          <w:cantSplit/>
          <w:trHeight w:val="227"/>
          <w:jc w:val="center"/>
        </w:trPr>
        <w:tc>
          <w:tcPr>
            <w:tcW w:w="2896" w:type="dxa"/>
            <w:vMerge/>
          </w:tcPr>
          <w:p w:rsidR="00E758EB" w:rsidRPr="0050685A" w:rsidRDefault="00E758EB" w:rsidP="00E11EE8">
            <w:pPr>
              <w:pStyle w:val="a3"/>
              <w:ind w:right="-108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bottom"/>
          </w:tcPr>
          <w:p w:rsidR="00E758EB" w:rsidRPr="0050685A" w:rsidRDefault="00E758EB" w:rsidP="00E11EE8">
            <w:pPr>
              <w:pStyle w:val="a3"/>
              <w:ind w:left="-57" w:right="-57"/>
              <w:jc w:val="right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361" w:type="dxa"/>
            <w:gridSpan w:val="2"/>
          </w:tcPr>
          <w:p w:rsidR="00E758EB" w:rsidRPr="0050685A" w:rsidRDefault="00E758EB" w:rsidP="00E11EE8">
            <w:pPr>
              <w:pStyle w:val="a3"/>
              <w:ind w:left="-57" w:right="-57"/>
              <w:jc w:val="center"/>
              <w:rPr>
                <w:rFonts w:ascii="Times New Roman" w:hAnsi="Times New Roman"/>
                <w:iCs/>
                <w:sz w:val="20"/>
              </w:rPr>
            </w:pPr>
            <w:r w:rsidRPr="0050685A">
              <w:rPr>
                <w:rFonts w:ascii="Times New Roman" w:hAnsi="Times New Roman"/>
                <w:i/>
                <w:iCs/>
                <w:sz w:val="20"/>
              </w:rPr>
              <w:t>всего</w:t>
            </w:r>
          </w:p>
        </w:tc>
        <w:tc>
          <w:tcPr>
            <w:tcW w:w="1361" w:type="dxa"/>
            <w:gridSpan w:val="2"/>
          </w:tcPr>
          <w:p w:rsidR="00E758EB" w:rsidRPr="0050685A" w:rsidRDefault="00E758EB" w:rsidP="00B3364A">
            <w:pPr>
              <w:pStyle w:val="a3"/>
              <w:ind w:left="-113" w:right="-113"/>
              <w:jc w:val="center"/>
              <w:rPr>
                <w:rFonts w:ascii="Times New Roman" w:hAnsi="Times New Roman"/>
                <w:iCs/>
                <w:sz w:val="20"/>
              </w:rPr>
            </w:pPr>
            <w:r w:rsidRPr="0050685A">
              <w:rPr>
                <w:rFonts w:ascii="Times New Roman" w:hAnsi="Times New Roman"/>
                <w:i/>
                <w:iCs/>
                <w:sz w:val="20"/>
              </w:rPr>
              <w:t xml:space="preserve">из неё </w:t>
            </w:r>
            <w:r w:rsidRPr="0050685A">
              <w:rPr>
                <w:rFonts w:ascii="Times New Roman" w:hAnsi="Times New Roman"/>
                <w:i/>
                <w:iCs/>
                <w:sz w:val="20"/>
              </w:rPr>
              <w:br/>
              <w:t>просроченная</w:t>
            </w:r>
          </w:p>
        </w:tc>
        <w:tc>
          <w:tcPr>
            <w:tcW w:w="1361" w:type="dxa"/>
            <w:gridSpan w:val="2"/>
          </w:tcPr>
          <w:p w:rsidR="00E758EB" w:rsidRPr="0050685A" w:rsidRDefault="00E758EB" w:rsidP="00E11EE8">
            <w:pPr>
              <w:pStyle w:val="a3"/>
              <w:ind w:left="-57" w:right="-57"/>
              <w:jc w:val="center"/>
              <w:rPr>
                <w:rFonts w:ascii="Times New Roman" w:hAnsi="Times New Roman"/>
                <w:iCs/>
                <w:sz w:val="20"/>
              </w:rPr>
            </w:pPr>
            <w:r w:rsidRPr="0050685A">
              <w:rPr>
                <w:rFonts w:ascii="Times New Roman" w:hAnsi="Times New Roman"/>
                <w:i/>
                <w:iCs/>
                <w:sz w:val="20"/>
              </w:rPr>
              <w:t>всего</w:t>
            </w:r>
          </w:p>
        </w:tc>
        <w:tc>
          <w:tcPr>
            <w:tcW w:w="1362" w:type="dxa"/>
            <w:gridSpan w:val="2"/>
          </w:tcPr>
          <w:p w:rsidR="00E758EB" w:rsidRPr="0050685A" w:rsidRDefault="00E758EB" w:rsidP="00B3364A">
            <w:pPr>
              <w:pStyle w:val="a3"/>
              <w:ind w:left="-85" w:right="-85"/>
              <w:jc w:val="center"/>
              <w:rPr>
                <w:rFonts w:ascii="Times New Roman" w:hAnsi="Times New Roman"/>
                <w:iCs/>
                <w:sz w:val="20"/>
              </w:rPr>
            </w:pPr>
            <w:r w:rsidRPr="0050685A">
              <w:rPr>
                <w:rFonts w:ascii="Times New Roman" w:hAnsi="Times New Roman"/>
                <w:i/>
                <w:iCs/>
                <w:sz w:val="20"/>
              </w:rPr>
              <w:t xml:space="preserve">из неё </w:t>
            </w:r>
            <w:r w:rsidRPr="0050685A">
              <w:rPr>
                <w:rFonts w:ascii="Times New Roman" w:hAnsi="Times New Roman"/>
                <w:i/>
                <w:iCs/>
                <w:sz w:val="20"/>
              </w:rPr>
              <w:br/>
              <w:t>просроченная</w:t>
            </w:r>
          </w:p>
        </w:tc>
      </w:tr>
      <w:tr w:rsidR="00966D0F" w:rsidRPr="0050685A" w:rsidTr="00F12C35">
        <w:trPr>
          <w:cantSplit/>
          <w:trHeight w:val="227"/>
          <w:jc w:val="center"/>
        </w:trPr>
        <w:tc>
          <w:tcPr>
            <w:tcW w:w="2896" w:type="dxa"/>
          </w:tcPr>
          <w:p w:rsidR="00966D0F" w:rsidRPr="0050685A" w:rsidRDefault="00966D0F" w:rsidP="00E11EE8">
            <w:pPr>
              <w:pStyle w:val="a3"/>
              <w:ind w:right="-108"/>
              <w:jc w:val="both"/>
              <w:rPr>
                <w:rFonts w:ascii="Times New Roman" w:hAnsi="Times New Roman"/>
                <w:iCs/>
                <w:sz w:val="20"/>
              </w:rPr>
            </w:pPr>
            <w:r w:rsidRPr="0050685A">
              <w:rPr>
                <w:rFonts w:ascii="Times New Roman" w:hAnsi="Times New Roman"/>
                <w:iCs/>
                <w:sz w:val="20"/>
              </w:rPr>
              <w:t>г. Пермь</w:t>
            </w:r>
          </w:p>
        </w:tc>
        <w:tc>
          <w:tcPr>
            <w:tcW w:w="1425" w:type="dxa"/>
            <w:gridSpan w:val="2"/>
            <w:vAlign w:val="bottom"/>
          </w:tcPr>
          <w:p w:rsidR="00966D0F" w:rsidRPr="0050685A" w:rsidRDefault="00966D0F" w:rsidP="00E8514B">
            <w:pPr>
              <w:jc w:val="right"/>
            </w:pPr>
            <w:r w:rsidRPr="0050685A">
              <w:t>128993,1</w:t>
            </w:r>
          </w:p>
        </w:tc>
        <w:tc>
          <w:tcPr>
            <w:tcW w:w="1363" w:type="dxa"/>
            <w:gridSpan w:val="2"/>
            <w:vAlign w:val="bottom"/>
          </w:tcPr>
          <w:p w:rsidR="00966D0F" w:rsidRPr="0050685A" w:rsidRDefault="00966D0F" w:rsidP="00F12C35">
            <w:pPr>
              <w:jc w:val="right"/>
            </w:pPr>
            <w:r w:rsidRPr="0050685A">
              <w:t>407502,6</w:t>
            </w:r>
          </w:p>
        </w:tc>
        <w:tc>
          <w:tcPr>
            <w:tcW w:w="1363" w:type="dxa"/>
            <w:gridSpan w:val="2"/>
            <w:vAlign w:val="bottom"/>
          </w:tcPr>
          <w:p w:rsidR="00966D0F" w:rsidRPr="0050685A" w:rsidRDefault="00966D0F" w:rsidP="00F12C35">
            <w:pPr>
              <w:jc w:val="right"/>
            </w:pPr>
            <w:r w:rsidRPr="0050685A">
              <w:t>27901,6</w:t>
            </w:r>
          </w:p>
        </w:tc>
        <w:tc>
          <w:tcPr>
            <w:tcW w:w="1363" w:type="dxa"/>
            <w:gridSpan w:val="2"/>
            <w:vAlign w:val="bottom"/>
          </w:tcPr>
          <w:p w:rsidR="00966D0F" w:rsidRPr="0050685A" w:rsidRDefault="00966D0F" w:rsidP="00E8514B">
            <w:pPr>
              <w:jc w:val="right"/>
            </w:pPr>
            <w:r w:rsidRPr="0050685A">
              <w:t>535285,8</w:t>
            </w:r>
          </w:p>
        </w:tc>
        <w:tc>
          <w:tcPr>
            <w:tcW w:w="1364" w:type="dxa"/>
            <w:gridSpan w:val="2"/>
            <w:vAlign w:val="bottom"/>
          </w:tcPr>
          <w:p w:rsidR="00966D0F" w:rsidRPr="0050685A" w:rsidRDefault="00966D0F" w:rsidP="00E8514B">
            <w:pPr>
              <w:jc w:val="right"/>
            </w:pPr>
            <w:r w:rsidRPr="0050685A">
              <w:t>22073,0</w:t>
            </w:r>
          </w:p>
        </w:tc>
      </w:tr>
      <w:tr w:rsidR="00966D0F" w:rsidRPr="0050685A" w:rsidTr="00F12C35">
        <w:trPr>
          <w:cantSplit/>
          <w:trHeight w:val="227"/>
          <w:jc w:val="center"/>
        </w:trPr>
        <w:tc>
          <w:tcPr>
            <w:tcW w:w="2896" w:type="dxa"/>
          </w:tcPr>
          <w:p w:rsidR="00966D0F" w:rsidRPr="0050685A" w:rsidRDefault="00966D0F" w:rsidP="00E11EE8">
            <w:pPr>
              <w:pStyle w:val="a3"/>
              <w:ind w:left="284" w:right="-108"/>
              <w:jc w:val="both"/>
              <w:rPr>
                <w:rFonts w:ascii="Times New Roman" w:hAnsi="Times New Roman"/>
                <w:iCs/>
                <w:sz w:val="20"/>
              </w:rPr>
            </w:pPr>
            <w:r w:rsidRPr="0050685A">
              <w:rPr>
                <w:rFonts w:ascii="Times New Roman" w:hAnsi="Times New Roman"/>
                <w:iCs/>
                <w:sz w:val="20"/>
              </w:rPr>
              <w:t>в том числе:</w:t>
            </w:r>
          </w:p>
        </w:tc>
        <w:tc>
          <w:tcPr>
            <w:tcW w:w="1425" w:type="dxa"/>
            <w:gridSpan w:val="2"/>
            <w:vAlign w:val="bottom"/>
          </w:tcPr>
          <w:p w:rsidR="00966D0F" w:rsidRPr="0050685A" w:rsidRDefault="00966D0F" w:rsidP="00E8514B"/>
        </w:tc>
        <w:tc>
          <w:tcPr>
            <w:tcW w:w="1363" w:type="dxa"/>
            <w:gridSpan w:val="2"/>
            <w:vAlign w:val="bottom"/>
          </w:tcPr>
          <w:p w:rsidR="00966D0F" w:rsidRPr="0050685A" w:rsidRDefault="00966D0F" w:rsidP="00F12C35">
            <w:pPr>
              <w:jc w:val="right"/>
            </w:pPr>
          </w:p>
        </w:tc>
        <w:tc>
          <w:tcPr>
            <w:tcW w:w="1363" w:type="dxa"/>
            <w:gridSpan w:val="2"/>
            <w:vAlign w:val="bottom"/>
          </w:tcPr>
          <w:p w:rsidR="00966D0F" w:rsidRPr="0050685A" w:rsidRDefault="00966D0F" w:rsidP="00F12C35">
            <w:pPr>
              <w:jc w:val="right"/>
            </w:pPr>
          </w:p>
        </w:tc>
        <w:tc>
          <w:tcPr>
            <w:tcW w:w="1363" w:type="dxa"/>
            <w:gridSpan w:val="2"/>
            <w:vAlign w:val="bottom"/>
          </w:tcPr>
          <w:p w:rsidR="00966D0F" w:rsidRPr="0050685A" w:rsidRDefault="00966D0F" w:rsidP="00E8514B"/>
        </w:tc>
        <w:tc>
          <w:tcPr>
            <w:tcW w:w="1364" w:type="dxa"/>
            <w:gridSpan w:val="2"/>
            <w:vAlign w:val="bottom"/>
          </w:tcPr>
          <w:p w:rsidR="00966D0F" w:rsidRPr="0050685A" w:rsidRDefault="00966D0F" w:rsidP="00E8514B"/>
        </w:tc>
      </w:tr>
      <w:tr w:rsidR="00966D0F" w:rsidRPr="0050685A" w:rsidTr="00F12C35">
        <w:trPr>
          <w:cantSplit/>
          <w:trHeight w:val="227"/>
          <w:jc w:val="center"/>
        </w:trPr>
        <w:tc>
          <w:tcPr>
            <w:tcW w:w="2896" w:type="dxa"/>
          </w:tcPr>
          <w:p w:rsidR="00966D0F" w:rsidRPr="0050685A" w:rsidRDefault="00966D0F" w:rsidP="00E11EE8">
            <w:pPr>
              <w:pStyle w:val="a3"/>
              <w:ind w:left="142" w:right="-108"/>
              <w:jc w:val="both"/>
              <w:rPr>
                <w:rFonts w:ascii="Times New Roman" w:hAnsi="Times New Roman"/>
                <w:iCs/>
                <w:sz w:val="20"/>
              </w:rPr>
            </w:pPr>
            <w:r w:rsidRPr="0050685A">
              <w:rPr>
                <w:rFonts w:ascii="Times New Roman" w:hAnsi="Times New Roman"/>
                <w:iCs/>
                <w:sz w:val="20"/>
              </w:rPr>
              <w:t>Дзержинский район</w:t>
            </w:r>
          </w:p>
        </w:tc>
        <w:tc>
          <w:tcPr>
            <w:tcW w:w="1425" w:type="dxa"/>
            <w:gridSpan w:val="2"/>
            <w:vAlign w:val="bottom"/>
          </w:tcPr>
          <w:p w:rsidR="00966D0F" w:rsidRPr="0050685A" w:rsidRDefault="00966D0F" w:rsidP="00E8514B">
            <w:pPr>
              <w:jc w:val="right"/>
            </w:pPr>
            <w:r w:rsidRPr="0050685A">
              <w:t>4449,8</w:t>
            </w:r>
          </w:p>
        </w:tc>
        <w:tc>
          <w:tcPr>
            <w:tcW w:w="1363" w:type="dxa"/>
            <w:gridSpan w:val="2"/>
            <w:vAlign w:val="bottom"/>
          </w:tcPr>
          <w:p w:rsidR="00966D0F" w:rsidRPr="0050685A" w:rsidRDefault="00966D0F" w:rsidP="00F12C35">
            <w:pPr>
              <w:jc w:val="right"/>
            </w:pPr>
            <w:r w:rsidRPr="0050685A">
              <w:t>20212,9</w:t>
            </w:r>
          </w:p>
        </w:tc>
        <w:tc>
          <w:tcPr>
            <w:tcW w:w="1363" w:type="dxa"/>
            <w:gridSpan w:val="2"/>
            <w:vAlign w:val="bottom"/>
          </w:tcPr>
          <w:p w:rsidR="00966D0F" w:rsidRPr="0050685A" w:rsidRDefault="00966D0F" w:rsidP="00F12C35">
            <w:pPr>
              <w:jc w:val="right"/>
            </w:pPr>
            <w:r w:rsidRPr="0050685A">
              <w:t>4017,3</w:t>
            </w:r>
          </w:p>
        </w:tc>
        <w:tc>
          <w:tcPr>
            <w:tcW w:w="1363" w:type="dxa"/>
            <w:gridSpan w:val="2"/>
            <w:vAlign w:val="bottom"/>
          </w:tcPr>
          <w:p w:rsidR="00966D0F" w:rsidRPr="0050685A" w:rsidRDefault="00966D0F" w:rsidP="00E8514B">
            <w:pPr>
              <w:jc w:val="right"/>
            </w:pPr>
            <w:r w:rsidRPr="0050685A">
              <w:t>14471,0</w:t>
            </w:r>
          </w:p>
        </w:tc>
        <w:tc>
          <w:tcPr>
            <w:tcW w:w="1364" w:type="dxa"/>
            <w:gridSpan w:val="2"/>
            <w:vAlign w:val="bottom"/>
          </w:tcPr>
          <w:p w:rsidR="00966D0F" w:rsidRPr="0050685A" w:rsidRDefault="00966D0F" w:rsidP="00E8514B">
            <w:pPr>
              <w:jc w:val="right"/>
            </w:pPr>
            <w:r w:rsidRPr="0050685A">
              <w:t>1473,9</w:t>
            </w:r>
          </w:p>
        </w:tc>
      </w:tr>
      <w:tr w:rsidR="00966D0F" w:rsidRPr="0050685A" w:rsidTr="00F12C35">
        <w:trPr>
          <w:cantSplit/>
          <w:trHeight w:val="227"/>
          <w:jc w:val="center"/>
        </w:trPr>
        <w:tc>
          <w:tcPr>
            <w:tcW w:w="2896" w:type="dxa"/>
          </w:tcPr>
          <w:p w:rsidR="00966D0F" w:rsidRPr="0050685A" w:rsidRDefault="00966D0F" w:rsidP="00E11EE8">
            <w:pPr>
              <w:pStyle w:val="a3"/>
              <w:ind w:left="142" w:right="-108"/>
              <w:jc w:val="both"/>
              <w:rPr>
                <w:rFonts w:ascii="Times New Roman" w:hAnsi="Times New Roman"/>
                <w:iCs/>
                <w:sz w:val="20"/>
              </w:rPr>
            </w:pPr>
            <w:r w:rsidRPr="0050685A">
              <w:rPr>
                <w:rFonts w:ascii="Times New Roman" w:hAnsi="Times New Roman"/>
                <w:iCs/>
                <w:sz w:val="20"/>
              </w:rPr>
              <w:t>Индустриальный район</w:t>
            </w:r>
          </w:p>
        </w:tc>
        <w:tc>
          <w:tcPr>
            <w:tcW w:w="1425" w:type="dxa"/>
            <w:gridSpan w:val="2"/>
            <w:vAlign w:val="bottom"/>
          </w:tcPr>
          <w:p w:rsidR="00966D0F" w:rsidRPr="0050685A" w:rsidRDefault="00966D0F" w:rsidP="00E8514B">
            <w:pPr>
              <w:jc w:val="right"/>
            </w:pPr>
            <w:r w:rsidRPr="0050685A">
              <w:t>17722,3</w:t>
            </w:r>
          </w:p>
        </w:tc>
        <w:tc>
          <w:tcPr>
            <w:tcW w:w="1363" w:type="dxa"/>
            <w:gridSpan w:val="2"/>
            <w:vAlign w:val="bottom"/>
          </w:tcPr>
          <w:p w:rsidR="00966D0F" w:rsidRPr="0050685A" w:rsidRDefault="00966D0F" w:rsidP="00F12C35">
            <w:pPr>
              <w:jc w:val="right"/>
            </w:pPr>
            <w:r w:rsidRPr="0050685A">
              <w:t>47200,0</w:t>
            </w:r>
          </w:p>
        </w:tc>
        <w:tc>
          <w:tcPr>
            <w:tcW w:w="1363" w:type="dxa"/>
            <w:gridSpan w:val="2"/>
            <w:vAlign w:val="bottom"/>
          </w:tcPr>
          <w:p w:rsidR="00966D0F" w:rsidRPr="0050685A" w:rsidRDefault="00966D0F" w:rsidP="00F12C35">
            <w:pPr>
              <w:jc w:val="right"/>
            </w:pPr>
            <w:r w:rsidRPr="0050685A">
              <w:t>2147,9</w:t>
            </w:r>
          </w:p>
        </w:tc>
        <w:tc>
          <w:tcPr>
            <w:tcW w:w="1363" w:type="dxa"/>
            <w:gridSpan w:val="2"/>
            <w:vAlign w:val="bottom"/>
          </w:tcPr>
          <w:p w:rsidR="00966D0F" w:rsidRPr="0050685A" w:rsidRDefault="00966D0F" w:rsidP="00E8514B">
            <w:pPr>
              <w:jc w:val="right"/>
            </w:pPr>
            <w:r w:rsidRPr="0050685A">
              <w:t>131769,5</w:t>
            </w:r>
          </w:p>
        </w:tc>
        <w:tc>
          <w:tcPr>
            <w:tcW w:w="1364" w:type="dxa"/>
            <w:gridSpan w:val="2"/>
            <w:vAlign w:val="bottom"/>
          </w:tcPr>
          <w:p w:rsidR="00966D0F" w:rsidRPr="0050685A" w:rsidRDefault="00966D0F" w:rsidP="00E8514B">
            <w:pPr>
              <w:jc w:val="right"/>
            </w:pPr>
            <w:r w:rsidRPr="0050685A">
              <w:t>5267,4</w:t>
            </w:r>
          </w:p>
        </w:tc>
      </w:tr>
      <w:tr w:rsidR="00966D0F" w:rsidRPr="0050685A" w:rsidTr="00F12C35">
        <w:trPr>
          <w:cantSplit/>
          <w:trHeight w:val="227"/>
          <w:jc w:val="center"/>
        </w:trPr>
        <w:tc>
          <w:tcPr>
            <w:tcW w:w="2896" w:type="dxa"/>
          </w:tcPr>
          <w:p w:rsidR="00966D0F" w:rsidRPr="0050685A" w:rsidRDefault="00966D0F" w:rsidP="00E11EE8">
            <w:pPr>
              <w:pStyle w:val="a3"/>
              <w:ind w:left="142" w:right="-108"/>
              <w:jc w:val="both"/>
              <w:rPr>
                <w:rFonts w:ascii="Times New Roman" w:hAnsi="Times New Roman"/>
                <w:iCs/>
                <w:sz w:val="20"/>
              </w:rPr>
            </w:pPr>
            <w:r w:rsidRPr="0050685A">
              <w:rPr>
                <w:rFonts w:ascii="Times New Roman" w:hAnsi="Times New Roman"/>
                <w:iCs/>
                <w:sz w:val="20"/>
              </w:rPr>
              <w:t>Кировский район</w:t>
            </w:r>
          </w:p>
        </w:tc>
        <w:tc>
          <w:tcPr>
            <w:tcW w:w="1425" w:type="dxa"/>
            <w:gridSpan w:val="2"/>
            <w:vAlign w:val="bottom"/>
          </w:tcPr>
          <w:p w:rsidR="00966D0F" w:rsidRPr="0050685A" w:rsidRDefault="00966D0F" w:rsidP="00E8514B">
            <w:pPr>
              <w:jc w:val="right"/>
            </w:pPr>
            <w:r w:rsidRPr="0050685A">
              <w:t>8478,8</w:t>
            </w:r>
          </w:p>
        </w:tc>
        <w:tc>
          <w:tcPr>
            <w:tcW w:w="1363" w:type="dxa"/>
            <w:gridSpan w:val="2"/>
            <w:vAlign w:val="bottom"/>
          </w:tcPr>
          <w:p w:rsidR="00966D0F" w:rsidRPr="0050685A" w:rsidRDefault="00966D0F" w:rsidP="00F12C35">
            <w:pPr>
              <w:jc w:val="right"/>
            </w:pPr>
            <w:r w:rsidRPr="0050685A">
              <w:t>14683,6</w:t>
            </w:r>
          </w:p>
        </w:tc>
        <w:tc>
          <w:tcPr>
            <w:tcW w:w="1363" w:type="dxa"/>
            <w:gridSpan w:val="2"/>
            <w:vAlign w:val="bottom"/>
          </w:tcPr>
          <w:p w:rsidR="00966D0F" w:rsidRPr="0050685A" w:rsidRDefault="00966D0F" w:rsidP="00F12C35">
            <w:pPr>
              <w:jc w:val="right"/>
            </w:pPr>
            <w:r w:rsidRPr="0050685A">
              <w:t>589,8</w:t>
            </w:r>
          </w:p>
        </w:tc>
        <w:tc>
          <w:tcPr>
            <w:tcW w:w="1363" w:type="dxa"/>
            <w:gridSpan w:val="2"/>
            <w:vAlign w:val="bottom"/>
          </w:tcPr>
          <w:p w:rsidR="00966D0F" w:rsidRPr="0050685A" w:rsidRDefault="00966D0F" w:rsidP="00E8514B">
            <w:pPr>
              <w:jc w:val="right"/>
            </w:pPr>
            <w:r w:rsidRPr="0050685A">
              <w:t>21935,2</w:t>
            </w:r>
          </w:p>
        </w:tc>
        <w:tc>
          <w:tcPr>
            <w:tcW w:w="1364" w:type="dxa"/>
            <w:gridSpan w:val="2"/>
            <w:vAlign w:val="bottom"/>
          </w:tcPr>
          <w:p w:rsidR="00966D0F" w:rsidRPr="0050685A" w:rsidRDefault="00966D0F" w:rsidP="00E8514B">
            <w:pPr>
              <w:jc w:val="right"/>
            </w:pPr>
            <w:r w:rsidRPr="0050685A">
              <w:t>914,0</w:t>
            </w:r>
          </w:p>
        </w:tc>
      </w:tr>
      <w:tr w:rsidR="00966D0F" w:rsidRPr="0050685A" w:rsidTr="00F12C35">
        <w:trPr>
          <w:cantSplit/>
          <w:trHeight w:val="227"/>
          <w:jc w:val="center"/>
        </w:trPr>
        <w:tc>
          <w:tcPr>
            <w:tcW w:w="2896" w:type="dxa"/>
          </w:tcPr>
          <w:p w:rsidR="00966D0F" w:rsidRPr="0050685A" w:rsidRDefault="00966D0F" w:rsidP="00E11EE8">
            <w:pPr>
              <w:pStyle w:val="a3"/>
              <w:ind w:left="142" w:right="-108"/>
              <w:jc w:val="both"/>
              <w:rPr>
                <w:rFonts w:ascii="Times New Roman" w:hAnsi="Times New Roman"/>
                <w:iCs/>
                <w:sz w:val="20"/>
              </w:rPr>
            </w:pPr>
            <w:r w:rsidRPr="0050685A">
              <w:rPr>
                <w:rFonts w:ascii="Times New Roman" w:hAnsi="Times New Roman"/>
                <w:iCs/>
                <w:sz w:val="20"/>
              </w:rPr>
              <w:t>Ленинский район</w:t>
            </w:r>
          </w:p>
        </w:tc>
        <w:tc>
          <w:tcPr>
            <w:tcW w:w="1425" w:type="dxa"/>
            <w:gridSpan w:val="2"/>
            <w:vAlign w:val="bottom"/>
          </w:tcPr>
          <w:p w:rsidR="00966D0F" w:rsidRPr="0050685A" w:rsidRDefault="00966D0F" w:rsidP="00E8514B">
            <w:pPr>
              <w:jc w:val="right"/>
            </w:pPr>
            <w:r w:rsidRPr="0050685A">
              <w:t>77822,0</w:t>
            </w:r>
          </w:p>
        </w:tc>
        <w:tc>
          <w:tcPr>
            <w:tcW w:w="1363" w:type="dxa"/>
            <w:gridSpan w:val="2"/>
            <w:vAlign w:val="bottom"/>
          </w:tcPr>
          <w:p w:rsidR="00966D0F" w:rsidRPr="0050685A" w:rsidRDefault="00966D0F" w:rsidP="00F12C35">
            <w:pPr>
              <w:jc w:val="right"/>
            </w:pPr>
            <w:r w:rsidRPr="0050685A">
              <w:t>83561,8</w:t>
            </w:r>
          </w:p>
        </w:tc>
        <w:tc>
          <w:tcPr>
            <w:tcW w:w="1363" w:type="dxa"/>
            <w:gridSpan w:val="2"/>
            <w:vAlign w:val="bottom"/>
          </w:tcPr>
          <w:p w:rsidR="00966D0F" w:rsidRPr="0050685A" w:rsidRDefault="00966D0F" w:rsidP="00F12C35">
            <w:pPr>
              <w:jc w:val="right"/>
            </w:pPr>
            <w:r w:rsidRPr="0050685A">
              <w:t>К</w:t>
            </w:r>
          </w:p>
        </w:tc>
        <w:tc>
          <w:tcPr>
            <w:tcW w:w="1363" w:type="dxa"/>
            <w:gridSpan w:val="2"/>
            <w:vAlign w:val="bottom"/>
          </w:tcPr>
          <w:p w:rsidR="00966D0F" w:rsidRPr="0050685A" w:rsidRDefault="00966D0F" w:rsidP="00E8514B">
            <w:pPr>
              <w:jc w:val="right"/>
            </w:pPr>
            <w:r w:rsidRPr="0050685A">
              <w:t>103887,1</w:t>
            </w:r>
          </w:p>
        </w:tc>
        <w:tc>
          <w:tcPr>
            <w:tcW w:w="1364" w:type="dxa"/>
            <w:gridSpan w:val="2"/>
            <w:vAlign w:val="bottom"/>
          </w:tcPr>
          <w:p w:rsidR="00966D0F" w:rsidRPr="0050685A" w:rsidRDefault="00966D0F" w:rsidP="00E8514B">
            <w:pPr>
              <w:jc w:val="right"/>
            </w:pPr>
            <w:r w:rsidRPr="0050685A">
              <w:t>402,9</w:t>
            </w:r>
          </w:p>
        </w:tc>
      </w:tr>
      <w:tr w:rsidR="00966D0F" w:rsidRPr="0050685A" w:rsidTr="00F12C35">
        <w:trPr>
          <w:cantSplit/>
          <w:trHeight w:val="227"/>
          <w:jc w:val="center"/>
        </w:trPr>
        <w:tc>
          <w:tcPr>
            <w:tcW w:w="2896" w:type="dxa"/>
          </w:tcPr>
          <w:p w:rsidR="00966D0F" w:rsidRPr="0050685A" w:rsidRDefault="00966D0F" w:rsidP="00E11EE8">
            <w:pPr>
              <w:pStyle w:val="a3"/>
              <w:ind w:left="142" w:right="-108"/>
              <w:jc w:val="both"/>
              <w:rPr>
                <w:rFonts w:ascii="Times New Roman" w:hAnsi="Times New Roman"/>
                <w:iCs/>
                <w:sz w:val="20"/>
              </w:rPr>
            </w:pPr>
            <w:r w:rsidRPr="0050685A">
              <w:rPr>
                <w:rFonts w:ascii="Times New Roman" w:hAnsi="Times New Roman"/>
                <w:iCs/>
                <w:sz w:val="20"/>
              </w:rPr>
              <w:t>Мотовилихинский район</w:t>
            </w:r>
          </w:p>
        </w:tc>
        <w:tc>
          <w:tcPr>
            <w:tcW w:w="1425" w:type="dxa"/>
            <w:gridSpan w:val="2"/>
            <w:vAlign w:val="bottom"/>
          </w:tcPr>
          <w:p w:rsidR="00966D0F" w:rsidRPr="0050685A" w:rsidRDefault="00966D0F" w:rsidP="00E8514B">
            <w:pPr>
              <w:jc w:val="right"/>
            </w:pPr>
            <w:r w:rsidRPr="0050685A">
              <w:t>3091,6</w:t>
            </w:r>
          </w:p>
        </w:tc>
        <w:tc>
          <w:tcPr>
            <w:tcW w:w="1363" w:type="dxa"/>
            <w:gridSpan w:val="2"/>
            <w:vAlign w:val="bottom"/>
          </w:tcPr>
          <w:p w:rsidR="00966D0F" w:rsidRPr="0050685A" w:rsidRDefault="00966D0F" w:rsidP="00F12C35">
            <w:pPr>
              <w:jc w:val="right"/>
            </w:pPr>
            <w:r w:rsidRPr="0050685A">
              <w:t>54700,4</w:t>
            </w:r>
          </w:p>
        </w:tc>
        <w:tc>
          <w:tcPr>
            <w:tcW w:w="1363" w:type="dxa"/>
            <w:gridSpan w:val="2"/>
            <w:vAlign w:val="bottom"/>
          </w:tcPr>
          <w:p w:rsidR="00966D0F" w:rsidRPr="0050685A" w:rsidRDefault="00966D0F" w:rsidP="00F12C35">
            <w:pPr>
              <w:jc w:val="right"/>
            </w:pPr>
            <w:r w:rsidRPr="0050685A">
              <w:t>13779,2</w:t>
            </w:r>
          </w:p>
        </w:tc>
        <w:tc>
          <w:tcPr>
            <w:tcW w:w="1363" w:type="dxa"/>
            <w:gridSpan w:val="2"/>
            <w:vAlign w:val="bottom"/>
          </w:tcPr>
          <w:p w:rsidR="00966D0F" w:rsidRPr="0050685A" w:rsidRDefault="00966D0F" w:rsidP="00E8514B">
            <w:pPr>
              <w:jc w:val="right"/>
            </w:pPr>
            <w:r w:rsidRPr="0050685A">
              <w:t>130389,4</w:t>
            </w:r>
          </w:p>
        </w:tc>
        <w:tc>
          <w:tcPr>
            <w:tcW w:w="1364" w:type="dxa"/>
            <w:gridSpan w:val="2"/>
            <w:vAlign w:val="bottom"/>
          </w:tcPr>
          <w:p w:rsidR="00966D0F" w:rsidRPr="0050685A" w:rsidRDefault="00966D0F" w:rsidP="00E8514B">
            <w:pPr>
              <w:jc w:val="right"/>
            </w:pPr>
            <w:r w:rsidRPr="0050685A">
              <w:t>2069,4</w:t>
            </w:r>
          </w:p>
        </w:tc>
      </w:tr>
      <w:tr w:rsidR="00966D0F" w:rsidRPr="0050685A" w:rsidTr="00F12C35">
        <w:trPr>
          <w:cantSplit/>
          <w:trHeight w:val="227"/>
          <w:jc w:val="center"/>
        </w:trPr>
        <w:tc>
          <w:tcPr>
            <w:tcW w:w="2896" w:type="dxa"/>
          </w:tcPr>
          <w:p w:rsidR="00966D0F" w:rsidRPr="0050685A" w:rsidRDefault="00966D0F" w:rsidP="00E11EE8">
            <w:pPr>
              <w:pStyle w:val="a3"/>
              <w:ind w:left="142" w:right="-108"/>
              <w:jc w:val="both"/>
              <w:rPr>
                <w:rFonts w:ascii="Times New Roman" w:hAnsi="Times New Roman"/>
                <w:iCs/>
                <w:sz w:val="20"/>
              </w:rPr>
            </w:pPr>
            <w:r w:rsidRPr="0050685A">
              <w:rPr>
                <w:rFonts w:ascii="Times New Roman" w:hAnsi="Times New Roman"/>
                <w:iCs/>
                <w:sz w:val="20"/>
              </w:rPr>
              <w:t>Орджоникидзевский район</w:t>
            </w:r>
          </w:p>
        </w:tc>
        <w:tc>
          <w:tcPr>
            <w:tcW w:w="1425" w:type="dxa"/>
            <w:gridSpan w:val="2"/>
            <w:vAlign w:val="bottom"/>
          </w:tcPr>
          <w:p w:rsidR="00966D0F" w:rsidRPr="0050685A" w:rsidRDefault="00966D0F" w:rsidP="00E8514B">
            <w:pPr>
              <w:jc w:val="right"/>
            </w:pPr>
            <w:r w:rsidRPr="0050685A">
              <w:t>1521,7</w:t>
            </w:r>
          </w:p>
        </w:tc>
        <w:tc>
          <w:tcPr>
            <w:tcW w:w="1363" w:type="dxa"/>
            <w:gridSpan w:val="2"/>
            <w:vAlign w:val="bottom"/>
          </w:tcPr>
          <w:p w:rsidR="00966D0F" w:rsidRPr="0050685A" w:rsidRDefault="00966D0F" w:rsidP="00F12C35">
            <w:pPr>
              <w:jc w:val="right"/>
            </w:pPr>
            <w:r w:rsidRPr="0050685A">
              <w:t>18251,2</w:t>
            </w:r>
          </w:p>
        </w:tc>
        <w:tc>
          <w:tcPr>
            <w:tcW w:w="1363" w:type="dxa"/>
            <w:gridSpan w:val="2"/>
            <w:vAlign w:val="bottom"/>
          </w:tcPr>
          <w:p w:rsidR="00966D0F" w:rsidRPr="0050685A" w:rsidRDefault="00966D0F" w:rsidP="00F12C35">
            <w:pPr>
              <w:jc w:val="right"/>
            </w:pPr>
            <w:r w:rsidRPr="0050685A">
              <w:t>К</w:t>
            </w:r>
          </w:p>
        </w:tc>
        <w:tc>
          <w:tcPr>
            <w:tcW w:w="1363" w:type="dxa"/>
            <w:gridSpan w:val="2"/>
            <w:vAlign w:val="bottom"/>
          </w:tcPr>
          <w:p w:rsidR="00966D0F" w:rsidRPr="0050685A" w:rsidRDefault="00966D0F" w:rsidP="00E8514B">
            <w:pPr>
              <w:jc w:val="right"/>
            </w:pPr>
            <w:r w:rsidRPr="0050685A">
              <w:t>11652,7</w:t>
            </w:r>
          </w:p>
        </w:tc>
        <w:tc>
          <w:tcPr>
            <w:tcW w:w="1364" w:type="dxa"/>
            <w:gridSpan w:val="2"/>
            <w:vAlign w:val="bottom"/>
          </w:tcPr>
          <w:p w:rsidR="00966D0F" w:rsidRPr="0050685A" w:rsidRDefault="00966D0F" w:rsidP="00E8514B">
            <w:pPr>
              <w:jc w:val="right"/>
            </w:pPr>
            <w:r w:rsidRPr="0050685A">
              <w:t>474,9</w:t>
            </w:r>
          </w:p>
        </w:tc>
      </w:tr>
      <w:tr w:rsidR="00966D0F" w:rsidRPr="0050685A" w:rsidTr="00F12C35">
        <w:trPr>
          <w:cantSplit/>
          <w:trHeight w:val="227"/>
          <w:jc w:val="center"/>
        </w:trPr>
        <w:tc>
          <w:tcPr>
            <w:tcW w:w="2896" w:type="dxa"/>
          </w:tcPr>
          <w:p w:rsidR="00966D0F" w:rsidRPr="0050685A" w:rsidRDefault="00966D0F" w:rsidP="00E11EE8">
            <w:pPr>
              <w:pStyle w:val="a3"/>
              <w:ind w:left="142" w:right="-108"/>
              <w:jc w:val="both"/>
              <w:rPr>
                <w:rFonts w:ascii="Times New Roman" w:hAnsi="Times New Roman"/>
                <w:iCs/>
                <w:sz w:val="20"/>
              </w:rPr>
            </w:pPr>
            <w:r w:rsidRPr="0050685A">
              <w:rPr>
                <w:rFonts w:ascii="Times New Roman" w:hAnsi="Times New Roman"/>
                <w:iCs/>
                <w:sz w:val="20"/>
              </w:rPr>
              <w:t>Свердловский район</w:t>
            </w:r>
          </w:p>
        </w:tc>
        <w:tc>
          <w:tcPr>
            <w:tcW w:w="1425" w:type="dxa"/>
            <w:gridSpan w:val="2"/>
            <w:vAlign w:val="bottom"/>
          </w:tcPr>
          <w:p w:rsidR="00966D0F" w:rsidRPr="0050685A" w:rsidRDefault="00966D0F" w:rsidP="00E8514B">
            <w:pPr>
              <w:jc w:val="right"/>
            </w:pPr>
            <w:r w:rsidRPr="0050685A">
              <w:t>15906,9</w:t>
            </w:r>
          </w:p>
        </w:tc>
        <w:tc>
          <w:tcPr>
            <w:tcW w:w="1363" w:type="dxa"/>
            <w:gridSpan w:val="2"/>
            <w:vAlign w:val="bottom"/>
          </w:tcPr>
          <w:p w:rsidR="00966D0F" w:rsidRPr="0050685A" w:rsidRDefault="00966D0F" w:rsidP="00F12C35">
            <w:pPr>
              <w:jc w:val="right"/>
            </w:pPr>
            <w:r w:rsidRPr="0050685A">
              <w:t>168892,7</w:t>
            </w:r>
          </w:p>
        </w:tc>
        <w:tc>
          <w:tcPr>
            <w:tcW w:w="1363" w:type="dxa"/>
            <w:gridSpan w:val="2"/>
            <w:vAlign w:val="bottom"/>
          </w:tcPr>
          <w:p w:rsidR="00966D0F" w:rsidRPr="0050685A" w:rsidRDefault="00966D0F" w:rsidP="00F12C35">
            <w:pPr>
              <w:jc w:val="right"/>
            </w:pPr>
            <w:r w:rsidRPr="0050685A">
              <w:t>4524,4</w:t>
            </w:r>
          </w:p>
        </w:tc>
        <w:tc>
          <w:tcPr>
            <w:tcW w:w="1363" w:type="dxa"/>
            <w:gridSpan w:val="2"/>
            <w:vAlign w:val="bottom"/>
          </w:tcPr>
          <w:p w:rsidR="00966D0F" w:rsidRPr="0050685A" w:rsidRDefault="00966D0F" w:rsidP="00E8514B">
            <w:pPr>
              <w:jc w:val="right"/>
            </w:pPr>
            <w:r w:rsidRPr="0050685A">
              <w:t>121180,9</w:t>
            </w:r>
          </w:p>
        </w:tc>
        <w:tc>
          <w:tcPr>
            <w:tcW w:w="1364" w:type="dxa"/>
            <w:gridSpan w:val="2"/>
            <w:vAlign w:val="bottom"/>
          </w:tcPr>
          <w:p w:rsidR="00966D0F" w:rsidRPr="0050685A" w:rsidRDefault="00966D0F" w:rsidP="00E8514B">
            <w:pPr>
              <w:jc w:val="right"/>
            </w:pPr>
            <w:r w:rsidRPr="0050685A">
              <w:t>11470,6</w:t>
            </w:r>
          </w:p>
        </w:tc>
      </w:tr>
    </w:tbl>
    <w:p w:rsidR="00E758EB" w:rsidRPr="0050685A" w:rsidRDefault="00E758EB" w:rsidP="00E758EB">
      <w:pPr>
        <w:ind w:firstLine="720"/>
        <w:jc w:val="both"/>
        <w:rPr>
          <w:iCs/>
          <w:sz w:val="16"/>
          <w:szCs w:val="16"/>
          <w:lang w:val="en-US"/>
        </w:rPr>
      </w:pPr>
    </w:p>
    <w:p w:rsidR="00E758EB" w:rsidRPr="0050685A" w:rsidRDefault="00E758EB" w:rsidP="00E758EB">
      <w:pPr>
        <w:jc w:val="both"/>
        <w:rPr>
          <w:sz w:val="18"/>
          <w:szCs w:val="18"/>
        </w:rPr>
      </w:pPr>
      <w:r w:rsidRPr="0050685A">
        <w:rPr>
          <w:sz w:val="18"/>
          <w:szCs w:val="18"/>
        </w:rPr>
        <w:t>Ответственный исполнитель</w:t>
      </w:r>
    </w:p>
    <w:p w:rsidR="00E758EB" w:rsidRPr="0050685A" w:rsidRDefault="00E758EB" w:rsidP="00E758EB">
      <w:pPr>
        <w:jc w:val="both"/>
        <w:rPr>
          <w:sz w:val="18"/>
          <w:szCs w:val="18"/>
        </w:rPr>
      </w:pPr>
      <w:r w:rsidRPr="0050685A">
        <w:rPr>
          <w:sz w:val="18"/>
          <w:szCs w:val="18"/>
        </w:rPr>
        <w:t>Отдел статистики цен и финансов</w:t>
      </w:r>
    </w:p>
    <w:p w:rsidR="00E758EB" w:rsidRPr="0050685A" w:rsidRDefault="0061020C" w:rsidP="00E758EB">
      <w:pPr>
        <w:jc w:val="both"/>
        <w:rPr>
          <w:sz w:val="18"/>
          <w:szCs w:val="18"/>
        </w:rPr>
      </w:pPr>
      <w:r w:rsidRPr="0050685A">
        <w:rPr>
          <w:sz w:val="18"/>
          <w:szCs w:val="18"/>
        </w:rPr>
        <w:t xml:space="preserve">+7 </w:t>
      </w:r>
      <w:r w:rsidR="00E758EB" w:rsidRPr="0050685A">
        <w:rPr>
          <w:sz w:val="18"/>
          <w:szCs w:val="18"/>
        </w:rPr>
        <w:t>(342) 233</w:t>
      </w:r>
      <w:r w:rsidR="00E9410B" w:rsidRPr="0050685A">
        <w:rPr>
          <w:sz w:val="18"/>
          <w:szCs w:val="18"/>
        </w:rPr>
        <w:t>-</w:t>
      </w:r>
      <w:r w:rsidR="00E758EB" w:rsidRPr="0050685A">
        <w:rPr>
          <w:sz w:val="18"/>
          <w:szCs w:val="18"/>
        </w:rPr>
        <w:t>25</w:t>
      </w:r>
      <w:r w:rsidR="00E9410B" w:rsidRPr="0050685A">
        <w:rPr>
          <w:sz w:val="18"/>
          <w:szCs w:val="18"/>
        </w:rPr>
        <w:t>-</w:t>
      </w:r>
      <w:r w:rsidR="00E758EB" w:rsidRPr="0050685A">
        <w:rPr>
          <w:sz w:val="18"/>
          <w:szCs w:val="18"/>
        </w:rPr>
        <w:t>44  доб. 2-21#</w:t>
      </w:r>
    </w:p>
    <w:p w:rsidR="00D60D06" w:rsidRPr="0050685A" w:rsidRDefault="00D60D06" w:rsidP="00E758EB">
      <w:pPr>
        <w:jc w:val="both"/>
        <w:rPr>
          <w:sz w:val="18"/>
          <w:szCs w:val="18"/>
        </w:rPr>
      </w:pPr>
    </w:p>
    <w:p w:rsidR="00D60D06" w:rsidRPr="0050685A" w:rsidRDefault="00D60D06" w:rsidP="00E758EB">
      <w:pPr>
        <w:jc w:val="both"/>
        <w:rPr>
          <w:sz w:val="18"/>
          <w:szCs w:val="18"/>
        </w:rPr>
      </w:pPr>
    </w:p>
    <w:p w:rsidR="00D60D06" w:rsidRPr="0050685A" w:rsidRDefault="00D60D06" w:rsidP="00E758EB">
      <w:pPr>
        <w:jc w:val="both"/>
        <w:rPr>
          <w:sz w:val="18"/>
          <w:szCs w:val="18"/>
        </w:rPr>
      </w:pPr>
    </w:p>
    <w:p w:rsidR="00F37473" w:rsidRPr="0050685A" w:rsidRDefault="00F37473" w:rsidP="00E758EB">
      <w:pPr>
        <w:jc w:val="both"/>
        <w:rPr>
          <w:sz w:val="18"/>
          <w:szCs w:val="18"/>
        </w:rPr>
      </w:pPr>
    </w:p>
    <w:p w:rsidR="00E758EB" w:rsidRPr="0050685A" w:rsidRDefault="00E758EB">
      <w:pPr>
        <w:rPr>
          <w:lang w:val="en-US"/>
        </w:rPr>
      </w:pPr>
    </w:p>
    <w:sectPr w:rsidR="00E758EB" w:rsidRPr="0050685A" w:rsidSect="004A502F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F1E" w:rsidRDefault="00D75F1E" w:rsidP="00E758EB">
      <w:r>
        <w:separator/>
      </w:r>
    </w:p>
  </w:endnote>
  <w:endnote w:type="continuationSeparator" w:id="0">
    <w:p w:rsidR="00D75F1E" w:rsidRDefault="00D75F1E" w:rsidP="00E75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F1E" w:rsidRDefault="00D75F1E" w:rsidP="00E758EB">
      <w:r>
        <w:separator/>
      </w:r>
    </w:p>
  </w:footnote>
  <w:footnote w:type="continuationSeparator" w:id="0">
    <w:p w:rsidR="00D75F1E" w:rsidRDefault="00D75F1E" w:rsidP="00E758EB">
      <w:r>
        <w:continuationSeparator/>
      </w:r>
    </w:p>
  </w:footnote>
  <w:footnote w:id="1">
    <w:p w:rsidR="00E11EE8" w:rsidRPr="008E47C5" w:rsidRDefault="00E11EE8" w:rsidP="00BF5D75">
      <w:pPr>
        <w:pStyle w:val="a5"/>
        <w:jc w:val="both"/>
        <w:rPr>
          <w:rFonts w:ascii="Arial" w:hAnsi="Arial" w:cs="Arial"/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50685A">
        <w:rPr>
          <w:sz w:val="18"/>
          <w:szCs w:val="18"/>
        </w:rPr>
        <w:t>Данные приведены по сопоставимому кругу предприятий</w:t>
      </w:r>
      <w:r w:rsidRPr="0050685A">
        <w:rPr>
          <w:iCs/>
          <w:sz w:val="18"/>
          <w:szCs w:val="18"/>
        </w:rPr>
        <w:t xml:space="preserve">, не относящихся к субъектам малого </w:t>
      </w:r>
      <w:r w:rsidR="00BF5D75" w:rsidRPr="0050685A">
        <w:rPr>
          <w:iCs/>
          <w:sz w:val="18"/>
          <w:szCs w:val="18"/>
        </w:rPr>
        <w:t>п</w:t>
      </w:r>
      <w:r w:rsidRPr="0050685A">
        <w:rPr>
          <w:iCs/>
          <w:sz w:val="18"/>
          <w:szCs w:val="18"/>
        </w:rPr>
        <w:t>редпринимательства, без учета предприятий численностью до 15 человек, банков, страховых и бюджетных организаций.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8EB"/>
    <w:rsid w:val="0000573D"/>
    <w:rsid w:val="0000581A"/>
    <w:rsid w:val="00012C1D"/>
    <w:rsid w:val="000B7259"/>
    <w:rsid w:val="000C7912"/>
    <w:rsid w:val="000F186E"/>
    <w:rsid w:val="0010126D"/>
    <w:rsid w:val="00111DA4"/>
    <w:rsid w:val="00113F82"/>
    <w:rsid w:val="00152776"/>
    <w:rsid w:val="00172240"/>
    <w:rsid w:val="00191A95"/>
    <w:rsid w:val="00255D48"/>
    <w:rsid w:val="0027502D"/>
    <w:rsid w:val="002B0CBB"/>
    <w:rsid w:val="002F320D"/>
    <w:rsid w:val="00303F2C"/>
    <w:rsid w:val="00363D58"/>
    <w:rsid w:val="00373AC7"/>
    <w:rsid w:val="003775EC"/>
    <w:rsid w:val="00384D84"/>
    <w:rsid w:val="003855A7"/>
    <w:rsid w:val="003928ED"/>
    <w:rsid w:val="003B6299"/>
    <w:rsid w:val="003F7321"/>
    <w:rsid w:val="004573C2"/>
    <w:rsid w:val="00471C0A"/>
    <w:rsid w:val="00486CD2"/>
    <w:rsid w:val="004A0E2C"/>
    <w:rsid w:val="004A502F"/>
    <w:rsid w:val="004C67CF"/>
    <w:rsid w:val="004D2693"/>
    <w:rsid w:val="004F59A8"/>
    <w:rsid w:val="0050685A"/>
    <w:rsid w:val="00562591"/>
    <w:rsid w:val="00570870"/>
    <w:rsid w:val="005C2B31"/>
    <w:rsid w:val="005D2AE6"/>
    <w:rsid w:val="0061020C"/>
    <w:rsid w:val="00622A7D"/>
    <w:rsid w:val="006375AE"/>
    <w:rsid w:val="00637B87"/>
    <w:rsid w:val="006639DD"/>
    <w:rsid w:val="006A352C"/>
    <w:rsid w:val="006A5FE5"/>
    <w:rsid w:val="006C008E"/>
    <w:rsid w:val="006D2049"/>
    <w:rsid w:val="006F6F57"/>
    <w:rsid w:val="00710AF9"/>
    <w:rsid w:val="007141A1"/>
    <w:rsid w:val="00714CEB"/>
    <w:rsid w:val="007211DD"/>
    <w:rsid w:val="00726F45"/>
    <w:rsid w:val="00737D3A"/>
    <w:rsid w:val="007514E7"/>
    <w:rsid w:val="00764F04"/>
    <w:rsid w:val="007776AF"/>
    <w:rsid w:val="00784D9B"/>
    <w:rsid w:val="007A27F7"/>
    <w:rsid w:val="007D3E54"/>
    <w:rsid w:val="007F186D"/>
    <w:rsid w:val="008247E0"/>
    <w:rsid w:val="00871726"/>
    <w:rsid w:val="008C4BE3"/>
    <w:rsid w:val="008E6C0B"/>
    <w:rsid w:val="008F2318"/>
    <w:rsid w:val="008F54BB"/>
    <w:rsid w:val="009155E5"/>
    <w:rsid w:val="00930746"/>
    <w:rsid w:val="00941562"/>
    <w:rsid w:val="00965194"/>
    <w:rsid w:val="00966D0F"/>
    <w:rsid w:val="00967AFD"/>
    <w:rsid w:val="00974BAE"/>
    <w:rsid w:val="009A43F4"/>
    <w:rsid w:val="00A033EA"/>
    <w:rsid w:val="00A76973"/>
    <w:rsid w:val="00AA6ED8"/>
    <w:rsid w:val="00AB5E53"/>
    <w:rsid w:val="00AE6CA6"/>
    <w:rsid w:val="00B3364A"/>
    <w:rsid w:val="00B445B4"/>
    <w:rsid w:val="00B54FDE"/>
    <w:rsid w:val="00B5529E"/>
    <w:rsid w:val="00B56BA9"/>
    <w:rsid w:val="00B70CF6"/>
    <w:rsid w:val="00B8717E"/>
    <w:rsid w:val="00BA6811"/>
    <w:rsid w:val="00BE115F"/>
    <w:rsid w:val="00BF5D75"/>
    <w:rsid w:val="00BF716B"/>
    <w:rsid w:val="00C04F5D"/>
    <w:rsid w:val="00C25FF8"/>
    <w:rsid w:val="00C34932"/>
    <w:rsid w:val="00C56321"/>
    <w:rsid w:val="00C63483"/>
    <w:rsid w:val="00C715C4"/>
    <w:rsid w:val="00C81045"/>
    <w:rsid w:val="00CB59C0"/>
    <w:rsid w:val="00CF6ACA"/>
    <w:rsid w:val="00D25BD3"/>
    <w:rsid w:val="00D37E69"/>
    <w:rsid w:val="00D508BC"/>
    <w:rsid w:val="00D60D06"/>
    <w:rsid w:val="00D6161B"/>
    <w:rsid w:val="00D66540"/>
    <w:rsid w:val="00D75F1E"/>
    <w:rsid w:val="00D77EC1"/>
    <w:rsid w:val="00DF1614"/>
    <w:rsid w:val="00DF1C69"/>
    <w:rsid w:val="00E11EE8"/>
    <w:rsid w:val="00E301C5"/>
    <w:rsid w:val="00E44CDA"/>
    <w:rsid w:val="00E51E7B"/>
    <w:rsid w:val="00E541A3"/>
    <w:rsid w:val="00E6377D"/>
    <w:rsid w:val="00E758EB"/>
    <w:rsid w:val="00E838AE"/>
    <w:rsid w:val="00E9410B"/>
    <w:rsid w:val="00EB348D"/>
    <w:rsid w:val="00EB4AB2"/>
    <w:rsid w:val="00EC46BD"/>
    <w:rsid w:val="00EC65F3"/>
    <w:rsid w:val="00ED7E3B"/>
    <w:rsid w:val="00EE285C"/>
    <w:rsid w:val="00F12C35"/>
    <w:rsid w:val="00F37473"/>
    <w:rsid w:val="00F57AA3"/>
    <w:rsid w:val="00F60B14"/>
    <w:rsid w:val="00F61CB6"/>
    <w:rsid w:val="00F77936"/>
    <w:rsid w:val="00F92253"/>
    <w:rsid w:val="00F946FD"/>
    <w:rsid w:val="00FC2604"/>
    <w:rsid w:val="00FD2AC8"/>
    <w:rsid w:val="00FE06E5"/>
    <w:rsid w:val="00FE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EB"/>
    <w:pPr>
      <w:spacing w:after="0" w:line="240" w:lineRule="auto"/>
    </w:pPr>
    <w:rPr>
      <w:rFonts w:ascii="Times New Roman" w:hAnsi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58EB"/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E758EB"/>
    <w:rPr>
      <w:sz w:val="24"/>
      <w:szCs w:val="20"/>
      <w:lang w:eastAsia="ru-RU"/>
    </w:rPr>
  </w:style>
  <w:style w:type="paragraph" w:styleId="a5">
    <w:name w:val="footnote text"/>
    <w:basedOn w:val="a"/>
    <w:link w:val="a6"/>
    <w:semiHidden/>
    <w:rsid w:val="00E758EB"/>
  </w:style>
  <w:style w:type="character" w:customStyle="1" w:styleId="a6">
    <w:name w:val="Текст сноски Знак"/>
    <w:basedOn w:val="a0"/>
    <w:link w:val="a5"/>
    <w:semiHidden/>
    <w:rsid w:val="00E758EB"/>
    <w:rPr>
      <w:rFonts w:ascii="Times New Roman" w:hAnsi="Times New Roman"/>
      <w:szCs w:val="20"/>
      <w:lang w:eastAsia="ru-RU"/>
    </w:rPr>
  </w:style>
  <w:style w:type="character" w:styleId="a7">
    <w:name w:val="footnote reference"/>
    <w:semiHidden/>
    <w:rsid w:val="00E758E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758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58E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EB"/>
    <w:pPr>
      <w:spacing w:after="0" w:line="240" w:lineRule="auto"/>
    </w:pPr>
    <w:rPr>
      <w:rFonts w:ascii="Times New Roman" w:hAnsi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58EB"/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E758EB"/>
    <w:rPr>
      <w:sz w:val="24"/>
      <w:szCs w:val="20"/>
      <w:lang w:eastAsia="ru-RU"/>
    </w:rPr>
  </w:style>
  <w:style w:type="paragraph" w:styleId="a5">
    <w:name w:val="footnote text"/>
    <w:basedOn w:val="a"/>
    <w:link w:val="a6"/>
    <w:semiHidden/>
    <w:rsid w:val="00E758EB"/>
  </w:style>
  <w:style w:type="character" w:customStyle="1" w:styleId="a6">
    <w:name w:val="Текст сноски Знак"/>
    <w:basedOn w:val="a0"/>
    <w:link w:val="a5"/>
    <w:semiHidden/>
    <w:rsid w:val="00E758EB"/>
    <w:rPr>
      <w:rFonts w:ascii="Times New Roman" w:hAnsi="Times New Roman"/>
      <w:szCs w:val="20"/>
      <w:lang w:eastAsia="ru-RU"/>
    </w:rPr>
  </w:style>
  <w:style w:type="character" w:styleId="a7">
    <w:name w:val="footnote reference"/>
    <w:semiHidden/>
    <w:rsid w:val="00E758E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758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58E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2.546297735311855E-2"/>
          <c:y val="7.4029587210689585E-2"/>
          <c:w val="0.94098096615009663"/>
          <c:h val="0.5568026723932241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прибыль</c:v>
                </c:pt>
              </c:strCache>
            </c:strRef>
          </c:tx>
          <c:spPr>
            <a:solidFill>
              <a:srgbClr val="459966"/>
            </a:solidFill>
          </c:spPr>
          <c:dLbls>
            <c:txPr>
              <a:bodyPr/>
              <a:lstStyle/>
              <a:p>
                <a:pPr>
                  <a:defRPr>
                    <a:solidFill>
                      <a:srgbClr val="459966"/>
                    </a:solidFill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Лист1!$A$2:$A$3</c:f>
              <c:strCache>
                <c:ptCount val="2"/>
                <c:pt idx="0">
                  <c:v>Пермь</c:v>
                </c:pt>
                <c:pt idx="1">
                  <c:v>Пемский край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142502.39999999988</c:v>
                </c:pt>
                <c:pt idx="1">
                  <c:v>461110.7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сальдированный финансовый результат</c:v>
                </c:pt>
              </c:strCache>
            </c:strRef>
          </c:tx>
          <c:spPr>
            <a:solidFill>
              <a:srgbClr val="529FD8"/>
            </a:solidFill>
          </c:spPr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Лист1!$A$2:$A$3</c:f>
              <c:strCache>
                <c:ptCount val="2"/>
                <c:pt idx="0">
                  <c:v>Пермь</c:v>
                </c:pt>
                <c:pt idx="1">
                  <c:v>Пемский край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128993.1</c:v>
                </c:pt>
                <c:pt idx="1">
                  <c:v>443351.4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убыток</c:v>
                </c:pt>
              </c:strCache>
            </c:strRef>
          </c:tx>
          <c:spPr>
            <a:solidFill>
              <a:srgbClr val="EB5F60"/>
            </a:solidFill>
          </c:spPr>
          <c:dLbls>
            <c:txPr>
              <a:bodyPr/>
              <a:lstStyle/>
              <a:p>
                <a:pPr>
                  <a:defRPr>
                    <a:solidFill>
                      <a:srgbClr val="EB5F60"/>
                    </a:solidFill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Лист1!$A$2:$A$3</c:f>
              <c:strCache>
                <c:ptCount val="2"/>
                <c:pt idx="0">
                  <c:v>Пермь</c:v>
                </c:pt>
                <c:pt idx="1">
                  <c:v>Пемский край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-13509.2</c:v>
                </c:pt>
                <c:pt idx="1">
                  <c:v>-17759.3</c:v>
                </c:pt>
              </c:numCache>
            </c:numRef>
          </c:val>
        </c:ser>
        <c:dLbls>
          <c:showVal val="1"/>
        </c:dLbls>
        <c:gapWidth val="46"/>
        <c:overlap val="66"/>
        <c:axId val="57828096"/>
        <c:axId val="63800832"/>
      </c:barChart>
      <c:catAx>
        <c:axId val="5782809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ru-RU"/>
          </a:p>
        </c:txPr>
        <c:crossAx val="63800832"/>
        <c:crosses val="autoZero"/>
        <c:auto val="1"/>
        <c:lblAlgn val="ctr"/>
        <c:lblOffset val="600"/>
      </c:catAx>
      <c:valAx>
        <c:axId val="63800832"/>
        <c:scaling>
          <c:orientation val="minMax"/>
          <c:max val="500000"/>
          <c:min val="-20000"/>
        </c:scaling>
        <c:delete val="1"/>
        <c:axPos val="l"/>
        <c:numFmt formatCode="General" sourceLinked="1"/>
        <c:tickLblPos val="none"/>
        <c:crossAx val="578280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9.0724592658087855E-2"/>
          <c:y val="0.85585397279885511"/>
          <c:w val="0.81220031625476752"/>
          <c:h val="9.8064363576174748E-2"/>
        </c:manualLayout>
      </c:layout>
      <c:txPr>
        <a:bodyPr/>
        <a:lstStyle/>
        <a:p>
          <a:pPr>
            <a:defRPr>
              <a:latin typeface="Arial" panose="020B0604020202020204" pitchFamily="34" charset="0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9254658385093182"/>
          <c:y val="6.4516129032258134E-3"/>
          <c:w val="0.56366459627329235"/>
          <c:h val="1"/>
        </c:manualLayout>
      </c:layout>
      <c:barChart>
        <c:barDir val="bar"/>
        <c:grouping val="percentStacked"/>
        <c:ser>
          <c:idx val="0"/>
          <c:order val="0"/>
          <c:tx>
            <c:strRef>
              <c:f>Sheet1!$A$2</c:f>
              <c:strCache>
                <c:ptCount val="1"/>
                <c:pt idx="0">
                  <c:v>поставщикам</c:v>
                </c:pt>
              </c:strCache>
            </c:strRef>
          </c:tx>
          <c:spPr>
            <a:solidFill>
              <a:srgbClr val="FFC32D"/>
            </a:solidFill>
            <a:ln w="25410">
              <a:noFill/>
            </a:ln>
          </c:spPr>
          <c:dLbls>
            <c:txPr>
              <a:bodyPr/>
              <a:lstStyle/>
              <a:p>
                <a:pPr>
                  <a:defRPr sz="1000" b="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Sheet1!$B$1:$D$1</c:f>
              <c:strCache>
                <c:ptCount val="2"/>
                <c:pt idx="0">
                  <c:v>на 1 января 2022</c:v>
                </c:pt>
                <c:pt idx="1">
                  <c:v>на 1 января 2023</c:v>
                </c:pt>
              </c:strCache>
            </c:strRef>
          </c:cat>
          <c:val>
            <c:numRef>
              <c:f>Sheet1!$B$2:$D$2</c:f>
              <c:numCache>
                <c:formatCode>0.0</c:formatCode>
                <c:ptCount val="2"/>
                <c:pt idx="0">
                  <c:v>63.8</c:v>
                </c:pt>
                <c:pt idx="1">
                  <c:v>54.7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бюджеты всех уровней</c:v>
                </c:pt>
              </c:strCache>
            </c:strRef>
          </c:tx>
          <c:spPr>
            <a:solidFill>
              <a:srgbClr val="4FB24F"/>
            </a:solidFill>
            <a:ln w="25410">
              <a:noFill/>
            </a:ln>
          </c:spPr>
          <c:dLbls>
            <c:dLbl>
              <c:idx val="0"/>
              <c:layout>
                <c:manualLayout>
                  <c:x val="-4.0774719673802263E-3"/>
                  <c:y val="0"/>
                </c:manualLayout>
              </c:layout>
              <c:dLblPos val="ctr"/>
              <c:showVal val="1"/>
            </c:dLbl>
            <c:txPr>
              <a:bodyPr/>
              <a:lstStyle/>
              <a:p>
                <a:pPr>
                  <a:defRPr sz="1000" b="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Sheet1!$B$1:$D$1</c:f>
              <c:strCache>
                <c:ptCount val="2"/>
                <c:pt idx="0">
                  <c:v>на 1 января 2022</c:v>
                </c:pt>
                <c:pt idx="1">
                  <c:v>на 1 января 2023</c:v>
                </c:pt>
              </c:strCache>
            </c:strRef>
          </c:cat>
          <c:val>
            <c:numRef>
              <c:f>Sheet1!$B$3:$D$3</c:f>
              <c:numCache>
                <c:formatCode>0.0</c:formatCode>
                <c:ptCount val="2"/>
                <c:pt idx="0">
                  <c:v>7</c:v>
                </c:pt>
                <c:pt idx="1">
                  <c:v>9.3000000000000007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во внебюджетные фонды</c:v>
                </c:pt>
              </c:strCache>
            </c:strRef>
          </c:tx>
          <c:spPr>
            <a:solidFill>
              <a:srgbClr val="529FD8"/>
            </a:solidFill>
            <a:ln w="25410">
              <a:noFill/>
            </a:ln>
          </c:spPr>
          <c:dLbls>
            <c:txPr>
              <a:bodyPr/>
              <a:lstStyle/>
              <a:p>
                <a:pPr>
                  <a:defRPr sz="1000" b="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Sheet1!$B$1:$D$1</c:f>
              <c:strCache>
                <c:ptCount val="2"/>
                <c:pt idx="0">
                  <c:v>на 1 января 2022</c:v>
                </c:pt>
                <c:pt idx="1">
                  <c:v>на 1 января 2023</c:v>
                </c:pt>
              </c:strCache>
            </c:strRef>
          </c:cat>
          <c:val>
            <c:numRef>
              <c:f>Sheet1!$B$4:$D$4</c:f>
              <c:numCache>
                <c:formatCode>0.0</c:formatCode>
                <c:ptCount val="2"/>
                <c:pt idx="0">
                  <c:v>3.6</c:v>
                </c:pt>
                <c:pt idx="1">
                  <c:v>4.4000000000000004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прочая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25410">
              <a:noFill/>
            </a:ln>
          </c:spPr>
          <c:dLbls>
            <c:txPr>
              <a:bodyPr/>
              <a:lstStyle/>
              <a:p>
                <a:pPr>
                  <a:defRPr sz="1000" b="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Sheet1!$B$1:$D$1</c:f>
              <c:strCache>
                <c:ptCount val="2"/>
                <c:pt idx="0">
                  <c:v>на 1 января 2022</c:v>
                </c:pt>
                <c:pt idx="1">
                  <c:v>на 1 января 2023</c:v>
                </c:pt>
              </c:strCache>
            </c:strRef>
          </c:cat>
          <c:val>
            <c:numRef>
              <c:f>Sheet1!$B$5:$D$5</c:f>
              <c:numCache>
                <c:formatCode>0.0</c:formatCode>
                <c:ptCount val="2"/>
                <c:pt idx="0">
                  <c:v>25.6</c:v>
                </c:pt>
                <c:pt idx="1">
                  <c:v>31.6</c:v>
                </c:pt>
              </c:numCache>
            </c:numRef>
          </c:val>
        </c:ser>
        <c:dLbls>
          <c:showVal val="1"/>
        </c:dLbls>
        <c:gapWidth val="40"/>
        <c:overlap val="100"/>
        <c:axId val="111999616"/>
        <c:axId val="112009984"/>
      </c:barChart>
      <c:catAx>
        <c:axId val="111999616"/>
        <c:scaling>
          <c:orientation val="minMax"/>
        </c:scaling>
        <c:axPos val="l"/>
        <c:numFmt formatCode="General" sourceLinked="1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12009984"/>
        <c:crosses val="autoZero"/>
        <c:auto val="1"/>
        <c:lblAlgn val="ctr"/>
        <c:lblOffset val="100"/>
        <c:tickLblSkip val="1"/>
        <c:tickMarkSkip val="1"/>
      </c:catAx>
      <c:valAx>
        <c:axId val="112009984"/>
        <c:scaling>
          <c:orientation val="minMax"/>
        </c:scaling>
        <c:delete val="1"/>
        <c:axPos val="b"/>
        <c:numFmt formatCode="0%" sourceLinked="1"/>
        <c:tickLblPos val="none"/>
        <c:crossAx val="111999616"/>
        <c:crosses val="autoZero"/>
        <c:crossBetween val="between"/>
      </c:valAx>
      <c:spPr>
        <a:solidFill>
          <a:srgbClr val="FFFFFF"/>
        </a:solidFill>
        <a:ln w="12705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7591307547761224"/>
          <c:y val="8.5609250378436239E-2"/>
          <c:w val="0.21583850931677021"/>
          <c:h val="0.90967741935483915"/>
        </c:manualLayout>
      </c:layout>
      <c:spPr>
        <a:solidFill>
          <a:srgbClr val="FFFFFF"/>
        </a:solidFill>
        <a:ln w="12705">
          <a:solidFill>
            <a:srgbClr val="FFFFFF"/>
          </a:solidFill>
          <a:prstDash val="solid"/>
        </a:ln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Александра Викторовна</dc:creator>
  <cp:lastModifiedBy>palehova-ke</cp:lastModifiedBy>
  <cp:revision>3</cp:revision>
  <cp:lastPrinted>2023-02-15T08:09:00Z</cp:lastPrinted>
  <dcterms:created xsi:type="dcterms:W3CDTF">2023-03-07T09:51:00Z</dcterms:created>
  <dcterms:modified xsi:type="dcterms:W3CDTF">2023-03-10T05:48:00Z</dcterms:modified>
</cp:coreProperties>
</file>