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0B" w:rsidRDefault="006F27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270B" w:rsidRDefault="006F270B">
      <w:pPr>
        <w:pStyle w:val="ConsPlusNormal"/>
        <w:jc w:val="both"/>
        <w:outlineLvl w:val="0"/>
      </w:pPr>
    </w:p>
    <w:p w:rsidR="006F270B" w:rsidRDefault="006F270B">
      <w:pPr>
        <w:pStyle w:val="ConsPlusTitle"/>
        <w:jc w:val="center"/>
        <w:outlineLvl w:val="0"/>
      </w:pPr>
      <w:r>
        <w:t>АДМИНИСТРАЦИЯ ГОРОДА ПЕРМИ</w:t>
      </w:r>
    </w:p>
    <w:p w:rsidR="006F270B" w:rsidRDefault="006F270B">
      <w:pPr>
        <w:pStyle w:val="ConsPlusTitle"/>
        <w:jc w:val="both"/>
      </w:pPr>
    </w:p>
    <w:p w:rsidR="006F270B" w:rsidRDefault="006F270B">
      <w:pPr>
        <w:pStyle w:val="ConsPlusTitle"/>
        <w:jc w:val="center"/>
      </w:pPr>
      <w:r>
        <w:t>ПОСТАНОВЛЕНИЕ</w:t>
      </w:r>
    </w:p>
    <w:p w:rsidR="006F270B" w:rsidRDefault="006F270B">
      <w:pPr>
        <w:pStyle w:val="ConsPlusTitle"/>
        <w:jc w:val="center"/>
      </w:pPr>
      <w:r>
        <w:t>от 8 декабря 2022 г. N 1267</w:t>
      </w:r>
    </w:p>
    <w:p w:rsidR="006F270B" w:rsidRDefault="006F270B">
      <w:pPr>
        <w:pStyle w:val="ConsPlusTitle"/>
        <w:jc w:val="both"/>
      </w:pPr>
    </w:p>
    <w:p w:rsidR="006F270B" w:rsidRDefault="006F270B">
      <w:pPr>
        <w:pStyle w:val="ConsPlusTitle"/>
        <w:jc w:val="center"/>
      </w:pPr>
      <w:r>
        <w:t>ОБ УТВЕРЖДЕНИИ ПЕРЕЧНЯ ТОВАРНЫХ РЫНКОВ ДЛЯ СОДЕЙСТВИЯ</w:t>
      </w:r>
    </w:p>
    <w:p w:rsidR="006F270B" w:rsidRDefault="006F270B">
      <w:pPr>
        <w:pStyle w:val="ConsPlusTitle"/>
        <w:jc w:val="center"/>
      </w:pPr>
      <w:r>
        <w:t>РАЗВИТИЮ КОНКУРЕНЦИИ В МУНИЦИПАЛЬНОМ ОБРАЗОВАНИИ ГОРОД ПЕРМЬ</w:t>
      </w:r>
    </w:p>
    <w:p w:rsidR="006F270B" w:rsidRDefault="006F270B">
      <w:pPr>
        <w:pStyle w:val="ConsPlusTitle"/>
        <w:jc w:val="center"/>
      </w:pPr>
      <w:r>
        <w:t>И ПЛАНА МЕРОПРИЯТИЙ ("ДОРОЖНОЙ КАРТЫ") ПО СОДЕЙСТВИЮ</w:t>
      </w:r>
    </w:p>
    <w:p w:rsidR="006F270B" w:rsidRDefault="006F270B">
      <w:pPr>
        <w:pStyle w:val="ConsPlusTitle"/>
        <w:jc w:val="center"/>
      </w:pPr>
      <w:r>
        <w:t>РАЗВИТИЮ КОНКУРЕНЦИИ В МУНИЦИПАЛЬНОМ ОБРАЗОВАНИИ ГОРОД ПЕРМЬ</w:t>
      </w: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2019 г. N 768-р "Об утверждении Стандарта развития конкуренции в субъектах Российской Федерации", </w:t>
      </w:r>
      <w:hyperlink r:id="rId6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29 декабря 2021 г. N 333-р "Об утверждении Перечня товарных рынков и Плана мероприятий ("дорожной карты") по содействию развитию конкуренции в Пермском крае на 2022-2025 годы", с учетом соглашения между Министерством экономического</w:t>
      </w:r>
      <w:proofErr w:type="gramEnd"/>
      <w:r>
        <w:t xml:space="preserve"> развития и инвестиций Пермского края и администрацией города Перми о внедрении в Пермском крае стандарта развития конкуренции в субъектах Российской Федерации от 12 августа 2019 г. администрация города Перми постановляет:</w:t>
      </w: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ind w:firstLine="540"/>
        <w:jc w:val="both"/>
      </w:pPr>
      <w:r>
        <w:t>1. Утвердить прилагаемые:</w:t>
      </w:r>
    </w:p>
    <w:p w:rsidR="006F270B" w:rsidRDefault="006F270B">
      <w:pPr>
        <w:pStyle w:val="ConsPlusNormal"/>
        <w:spacing w:before="220"/>
        <w:ind w:firstLine="540"/>
        <w:jc w:val="both"/>
      </w:pPr>
      <w:r>
        <w:t xml:space="preserve">1.1. </w:t>
      </w:r>
      <w:hyperlink w:anchor="P33">
        <w:r>
          <w:rPr>
            <w:color w:val="0000FF"/>
          </w:rPr>
          <w:t>перечень</w:t>
        </w:r>
      </w:hyperlink>
      <w:r>
        <w:t xml:space="preserve"> товарных рынков для содействия развитию конкуренции в муниципальном образовании город Пермь;</w:t>
      </w:r>
    </w:p>
    <w:p w:rsidR="006F270B" w:rsidRDefault="006F270B">
      <w:pPr>
        <w:pStyle w:val="ConsPlusNormal"/>
        <w:spacing w:before="220"/>
        <w:ind w:firstLine="540"/>
        <w:jc w:val="both"/>
      </w:pPr>
      <w:r>
        <w:t xml:space="preserve">1.2. </w:t>
      </w:r>
      <w:hyperlink w:anchor="P65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муниципальном образовании город Пермь.</w:t>
      </w:r>
    </w:p>
    <w:p w:rsidR="006F270B" w:rsidRDefault="006F270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01 января 2022 г.</w:t>
      </w:r>
    </w:p>
    <w:p w:rsidR="006F270B" w:rsidRDefault="006F270B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F270B" w:rsidRDefault="006F270B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6F270B" w:rsidRDefault="006F270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Агеева В.Г.</w:t>
      </w: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right"/>
      </w:pPr>
      <w:r>
        <w:t>И.о. Главы города Перми</w:t>
      </w:r>
    </w:p>
    <w:p w:rsidR="006F270B" w:rsidRDefault="006F270B">
      <w:pPr>
        <w:pStyle w:val="ConsPlusNormal"/>
        <w:jc w:val="right"/>
      </w:pPr>
      <w:r>
        <w:t>Э.А.ХАЙРУЛЛИН</w:t>
      </w: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right"/>
        <w:outlineLvl w:val="0"/>
      </w:pPr>
      <w:r>
        <w:lastRenderedPageBreak/>
        <w:t>УТВЕРЖДЕН</w:t>
      </w:r>
    </w:p>
    <w:p w:rsidR="006F270B" w:rsidRDefault="006F270B">
      <w:pPr>
        <w:pStyle w:val="ConsPlusNormal"/>
        <w:jc w:val="right"/>
      </w:pPr>
      <w:r>
        <w:t>постановлением</w:t>
      </w:r>
    </w:p>
    <w:p w:rsidR="006F270B" w:rsidRDefault="006F270B">
      <w:pPr>
        <w:pStyle w:val="ConsPlusNormal"/>
        <w:jc w:val="right"/>
      </w:pPr>
      <w:r>
        <w:t>администрации города Перми</w:t>
      </w:r>
    </w:p>
    <w:p w:rsidR="006F270B" w:rsidRDefault="006F270B">
      <w:pPr>
        <w:pStyle w:val="ConsPlusNormal"/>
        <w:jc w:val="right"/>
      </w:pPr>
      <w:r>
        <w:t>от 08.12.2022 N 1267</w:t>
      </w: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Title"/>
        <w:jc w:val="center"/>
      </w:pPr>
      <w:bookmarkStart w:id="0" w:name="P33"/>
      <w:bookmarkEnd w:id="0"/>
      <w:r>
        <w:t>ПЕРЕЧЕНЬ</w:t>
      </w:r>
    </w:p>
    <w:p w:rsidR="006F270B" w:rsidRDefault="006F270B">
      <w:pPr>
        <w:pStyle w:val="ConsPlusTitle"/>
        <w:jc w:val="center"/>
      </w:pPr>
      <w:r>
        <w:t>ТОВАРНЫХ РЫНКОВ ДЛЯ СОДЕЙСТВИЯ РАЗВИТИЮ КОНКУРЕНЦИИ</w:t>
      </w:r>
    </w:p>
    <w:p w:rsidR="006F270B" w:rsidRDefault="006F270B">
      <w:pPr>
        <w:pStyle w:val="ConsPlusTitle"/>
        <w:jc w:val="center"/>
      </w:pPr>
      <w:r>
        <w:t>В МУНИЦИПАЛЬНОМ ОБРАЗОВАНИИ ГОРОД ПЕРМЬ</w:t>
      </w:r>
    </w:p>
    <w:p w:rsidR="006F270B" w:rsidRDefault="006F2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4649"/>
      </w:tblGrid>
      <w:tr w:rsidR="006F270B">
        <w:tc>
          <w:tcPr>
            <w:tcW w:w="567" w:type="dxa"/>
          </w:tcPr>
          <w:p w:rsidR="006F270B" w:rsidRDefault="006F27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</w:tcPr>
          <w:p w:rsidR="006F270B" w:rsidRDefault="006F270B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товарного</w:t>
            </w:r>
            <w:proofErr w:type="gramEnd"/>
            <w:r>
              <w:t xml:space="preserve"> рынка</w:t>
            </w:r>
          </w:p>
        </w:tc>
        <w:tc>
          <w:tcPr>
            <w:tcW w:w="4649" w:type="dxa"/>
          </w:tcPr>
          <w:p w:rsidR="006F270B" w:rsidRDefault="006F2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F270B">
        <w:tc>
          <w:tcPr>
            <w:tcW w:w="567" w:type="dxa"/>
          </w:tcPr>
          <w:p w:rsidR="006F270B" w:rsidRDefault="006F2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F270B" w:rsidRDefault="006F27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6F270B" w:rsidRDefault="006F270B">
            <w:pPr>
              <w:pStyle w:val="ConsPlusNormal"/>
              <w:jc w:val="center"/>
            </w:pPr>
            <w:r>
              <w:t>3</w:t>
            </w:r>
          </w:p>
        </w:tc>
      </w:tr>
      <w:tr w:rsidR="006F270B">
        <w:tc>
          <w:tcPr>
            <w:tcW w:w="567" w:type="dxa"/>
          </w:tcPr>
          <w:p w:rsidR="006F270B" w:rsidRDefault="006F270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6F270B" w:rsidRDefault="006F270B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649" w:type="dxa"/>
          </w:tcPr>
          <w:p w:rsidR="006F270B" w:rsidRDefault="006F270B">
            <w:pPr>
              <w:pStyle w:val="ConsPlusNormal"/>
              <w:jc w:val="center"/>
            </w:pPr>
            <w:r>
              <w:t>департамент транспорта администрации города Перми</w:t>
            </w:r>
          </w:p>
        </w:tc>
      </w:tr>
      <w:tr w:rsidR="006F270B">
        <w:tc>
          <w:tcPr>
            <w:tcW w:w="567" w:type="dxa"/>
          </w:tcPr>
          <w:p w:rsidR="006F270B" w:rsidRDefault="006F270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</w:tcPr>
          <w:p w:rsidR="006F270B" w:rsidRDefault="006F270B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649" w:type="dxa"/>
          </w:tcPr>
          <w:p w:rsidR="006F270B" w:rsidRDefault="006F270B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</w:tr>
      <w:tr w:rsidR="006F270B">
        <w:tc>
          <w:tcPr>
            <w:tcW w:w="567" w:type="dxa"/>
          </w:tcPr>
          <w:p w:rsidR="006F270B" w:rsidRDefault="006F270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</w:tcPr>
          <w:p w:rsidR="006F270B" w:rsidRDefault="006F270B">
            <w:pPr>
              <w:pStyle w:val="ConsPlusNormal"/>
            </w:pPr>
            <w:r>
              <w:t>Рынок нестационарной торговли</w:t>
            </w:r>
          </w:p>
        </w:tc>
        <w:tc>
          <w:tcPr>
            <w:tcW w:w="4649" w:type="dxa"/>
          </w:tcPr>
          <w:p w:rsidR="006F270B" w:rsidRDefault="006F270B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</w:tr>
      <w:tr w:rsidR="006F270B">
        <w:tc>
          <w:tcPr>
            <w:tcW w:w="567" w:type="dxa"/>
          </w:tcPr>
          <w:p w:rsidR="006F270B" w:rsidRDefault="006F270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55" w:type="dxa"/>
          </w:tcPr>
          <w:p w:rsidR="006F270B" w:rsidRDefault="006F270B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4649" w:type="dxa"/>
          </w:tcPr>
          <w:p w:rsidR="006F270B" w:rsidRDefault="006F270B">
            <w:pPr>
              <w:pStyle w:val="ConsPlusNormal"/>
              <w:jc w:val="center"/>
            </w:pPr>
            <w:r>
              <w:t>департамент дорог и благоустройства администрации города Перми</w:t>
            </w:r>
          </w:p>
        </w:tc>
      </w:tr>
    </w:tbl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right"/>
        <w:outlineLvl w:val="0"/>
      </w:pPr>
      <w:r>
        <w:t>УТВЕРЖДЕН</w:t>
      </w:r>
    </w:p>
    <w:p w:rsidR="006F270B" w:rsidRDefault="006F270B">
      <w:pPr>
        <w:pStyle w:val="ConsPlusNormal"/>
        <w:jc w:val="right"/>
      </w:pPr>
      <w:r>
        <w:t>постановлением</w:t>
      </w:r>
    </w:p>
    <w:p w:rsidR="006F270B" w:rsidRDefault="006F270B">
      <w:pPr>
        <w:pStyle w:val="ConsPlusNormal"/>
        <w:jc w:val="right"/>
      </w:pPr>
      <w:r>
        <w:t>администрации города Перми</w:t>
      </w:r>
    </w:p>
    <w:p w:rsidR="006F270B" w:rsidRDefault="006F270B">
      <w:pPr>
        <w:pStyle w:val="ConsPlusNormal"/>
        <w:jc w:val="right"/>
      </w:pPr>
      <w:r>
        <w:t>от 08.12.2022 N 1267</w:t>
      </w: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Title"/>
        <w:jc w:val="center"/>
      </w:pPr>
      <w:bookmarkStart w:id="1" w:name="P65"/>
      <w:bookmarkEnd w:id="1"/>
      <w:r>
        <w:t>ПЛАН</w:t>
      </w:r>
    </w:p>
    <w:p w:rsidR="006F270B" w:rsidRDefault="006F270B">
      <w:pPr>
        <w:pStyle w:val="ConsPlusTitle"/>
        <w:jc w:val="center"/>
      </w:pPr>
      <w:r>
        <w:t>МЕРОПРИЯТИЙ ("ДОРОЖНАЯ КАРТА") ПО СОДЕЙСТВИЮ РАЗВИТИЮ</w:t>
      </w:r>
    </w:p>
    <w:p w:rsidR="006F270B" w:rsidRDefault="006F270B">
      <w:pPr>
        <w:pStyle w:val="ConsPlusTitle"/>
        <w:jc w:val="center"/>
      </w:pPr>
      <w:r>
        <w:t>КОНКУРЕНЦИИ В МУНИЦИПАЛЬНОМ ОБРАЗОВАНИИ ГОРОД ПЕРМЬ</w:t>
      </w: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sectPr w:rsidR="006F270B" w:rsidSect="00017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2098"/>
        <w:gridCol w:w="1204"/>
        <w:gridCol w:w="1204"/>
        <w:gridCol w:w="1204"/>
        <w:gridCol w:w="1204"/>
        <w:gridCol w:w="2948"/>
        <w:gridCol w:w="1816"/>
      </w:tblGrid>
      <w:tr w:rsidR="006F270B">
        <w:tc>
          <w:tcPr>
            <w:tcW w:w="424" w:type="dxa"/>
            <w:vMerge w:val="restart"/>
          </w:tcPr>
          <w:p w:rsidR="006F270B" w:rsidRDefault="006F270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98" w:type="dxa"/>
            <w:vMerge w:val="restart"/>
          </w:tcPr>
          <w:p w:rsidR="006F270B" w:rsidRDefault="006F270B">
            <w:pPr>
              <w:pStyle w:val="ConsPlusNormal"/>
              <w:jc w:val="center"/>
            </w:pPr>
            <w:r>
              <w:t>Ключевой показатель развития конкуренции</w:t>
            </w:r>
          </w:p>
        </w:tc>
        <w:tc>
          <w:tcPr>
            <w:tcW w:w="1204" w:type="dxa"/>
            <w:vMerge w:val="restart"/>
          </w:tcPr>
          <w:p w:rsidR="006F270B" w:rsidRDefault="006F270B">
            <w:pPr>
              <w:pStyle w:val="ConsPlusNormal"/>
              <w:jc w:val="center"/>
            </w:pPr>
            <w:r>
              <w:t>01.01.2022 (факт)</w:t>
            </w:r>
          </w:p>
        </w:tc>
        <w:tc>
          <w:tcPr>
            <w:tcW w:w="3612" w:type="dxa"/>
            <w:gridSpan w:val="3"/>
          </w:tcPr>
          <w:p w:rsidR="006F270B" w:rsidRDefault="006F270B">
            <w:pPr>
              <w:pStyle w:val="ConsPlusNormal"/>
              <w:jc w:val="center"/>
            </w:pPr>
            <w:r>
              <w:t>Целевые значения ключевого показателя</w:t>
            </w:r>
          </w:p>
        </w:tc>
        <w:tc>
          <w:tcPr>
            <w:tcW w:w="2948" w:type="dxa"/>
            <w:vMerge w:val="restart"/>
          </w:tcPr>
          <w:p w:rsidR="006F270B" w:rsidRDefault="006F270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6" w:type="dxa"/>
            <w:vMerge w:val="restart"/>
          </w:tcPr>
          <w:p w:rsidR="006F270B" w:rsidRDefault="006F270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2098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120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01.01.2025</w:t>
            </w:r>
          </w:p>
        </w:tc>
        <w:tc>
          <w:tcPr>
            <w:tcW w:w="2948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1816" w:type="dxa"/>
            <w:vMerge/>
          </w:tcPr>
          <w:p w:rsidR="006F270B" w:rsidRDefault="006F270B">
            <w:pPr>
              <w:pStyle w:val="ConsPlusNormal"/>
            </w:pPr>
          </w:p>
        </w:tc>
      </w:tr>
      <w:tr w:rsidR="006F270B">
        <w:tc>
          <w:tcPr>
            <w:tcW w:w="424" w:type="dxa"/>
          </w:tcPr>
          <w:p w:rsidR="006F270B" w:rsidRDefault="006F2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F270B" w:rsidRDefault="006F27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6F270B" w:rsidRDefault="006F27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6" w:type="dxa"/>
          </w:tcPr>
          <w:p w:rsidR="006F270B" w:rsidRDefault="006F270B">
            <w:pPr>
              <w:pStyle w:val="ConsPlusNormal"/>
              <w:jc w:val="center"/>
            </w:pPr>
            <w:r>
              <w:t>8</w:t>
            </w:r>
          </w:p>
        </w:tc>
      </w:tr>
      <w:tr w:rsidR="006F270B">
        <w:tc>
          <w:tcPr>
            <w:tcW w:w="424" w:type="dxa"/>
            <w:vMerge w:val="restart"/>
          </w:tcPr>
          <w:p w:rsidR="006F270B" w:rsidRDefault="006F270B">
            <w:pPr>
              <w:pStyle w:val="ConsPlusNormal"/>
              <w:jc w:val="center"/>
              <w:outlineLvl w:val="1"/>
            </w:pPr>
            <w:r>
              <w:t>1.1</w:t>
            </w: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  <w:jc w:val="both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  <w:jc w:val="both"/>
            </w:pPr>
            <w:r>
              <w:t>На 01.01.2022 на территории города Перми на муниципальных маршрутах регулярных перевозок работают 22 перевозчика частной формы собственности, муниципальное унитарное предприятие "Пермгорэлектротранс" и Пермское краевое государственное унитарное предприятие "Автовокзал". Пассажирские перевозки автомобильным транспортом осуществляются по 76 муниципальным маршрутам регулярных перевозок по регулируемым тарифам и по 7 маршрутам по нерегулируемым тарифам. Для обслуживания указанных маршрутов задействовано 847 транспортных средств разной вместимости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2098" w:type="dxa"/>
          </w:tcPr>
          <w:p w:rsidR="006F270B" w:rsidRDefault="006F270B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73,2%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не менее 70%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не менее 70%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не менее 70%</w:t>
            </w:r>
          </w:p>
        </w:tc>
        <w:tc>
          <w:tcPr>
            <w:tcW w:w="2948" w:type="dxa"/>
          </w:tcPr>
          <w:p w:rsidR="006F270B" w:rsidRDefault="006F270B">
            <w:pPr>
              <w:pStyle w:val="ConsPlusNormal"/>
              <w:jc w:val="center"/>
            </w:pPr>
            <w:r>
              <w:t>1. Определение потребности населения в пассажирских перевозках, изучение интенсивности пассажиропотока, анализ существующей маршрутной сети.</w:t>
            </w:r>
          </w:p>
          <w:p w:rsidR="006F270B" w:rsidRDefault="006F270B">
            <w:pPr>
              <w:pStyle w:val="ConsPlusNormal"/>
              <w:jc w:val="center"/>
            </w:pPr>
            <w:r>
              <w:t>2. Проведение конкурсных процедур по выбору перевозчиков для обслуживания муниципальных маршрутов регулярных перевозок</w:t>
            </w:r>
          </w:p>
        </w:tc>
        <w:tc>
          <w:tcPr>
            <w:tcW w:w="1816" w:type="dxa"/>
          </w:tcPr>
          <w:p w:rsidR="006F270B" w:rsidRDefault="006F270B">
            <w:pPr>
              <w:pStyle w:val="ConsPlusNormal"/>
              <w:jc w:val="center"/>
            </w:pPr>
            <w:r>
              <w:t>департамент транспорта администрации города Перми</w:t>
            </w:r>
          </w:p>
        </w:tc>
      </w:tr>
      <w:tr w:rsidR="006F270B">
        <w:tc>
          <w:tcPr>
            <w:tcW w:w="424" w:type="dxa"/>
            <w:vMerge w:val="restart"/>
          </w:tcPr>
          <w:p w:rsidR="006F270B" w:rsidRDefault="006F270B">
            <w:pPr>
              <w:pStyle w:val="ConsPlusNormal"/>
              <w:jc w:val="center"/>
              <w:outlineLvl w:val="1"/>
            </w:pPr>
            <w:r>
              <w:t>1.2</w:t>
            </w: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</w:pPr>
            <w:r>
              <w:t>Сфера наружной рекламы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  <w:jc w:val="both"/>
            </w:pPr>
            <w:r>
              <w:t xml:space="preserve">Размещение рекламных конструкций на территории города Перми осуществляется в соответствии со Схемой размещения </w:t>
            </w:r>
            <w:r>
              <w:lastRenderedPageBreak/>
              <w:t xml:space="preserve">рекламных конструкций на территории города Перми, утвержденной </w:t>
            </w:r>
            <w:hyperlink r:id="rId7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23.08.2016 N 171 (далее - Схема размещения рекламных конструкций). На 01.01.2022 в Схему размещения рекламных конструкций включено 645 объектов. Для размещения рекламных конструкций на территории города Перми административные барьеры отсутствуют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2098" w:type="dxa"/>
          </w:tcPr>
          <w:p w:rsidR="006F270B" w:rsidRDefault="006F270B">
            <w:pPr>
              <w:pStyle w:val="ConsPlusNormal"/>
            </w:pPr>
            <w:r>
              <w:t>Доля организаций частной формы собственности в сфере наружной рекламы, 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2948" w:type="dxa"/>
          </w:tcPr>
          <w:p w:rsidR="006F270B" w:rsidRDefault="006F270B">
            <w:pPr>
              <w:pStyle w:val="ConsPlusNormal"/>
              <w:jc w:val="center"/>
            </w:pPr>
            <w:r>
              <w:t>1. Выявление самовольно установленных и (или) незаконно размещенных рекламных конструкций.</w:t>
            </w:r>
          </w:p>
          <w:p w:rsidR="006F270B" w:rsidRDefault="006F270B">
            <w:pPr>
              <w:pStyle w:val="ConsPlusNormal"/>
              <w:jc w:val="center"/>
            </w:pPr>
            <w:r>
              <w:t>2. Направление предписаний на демонтаж выявленных самовольно установленных и (или) незаконно размещенных рекламных конструкций.</w:t>
            </w:r>
          </w:p>
          <w:p w:rsidR="006F270B" w:rsidRDefault="006F270B">
            <w:pPr>
              <w:pStyle w:val="ConsPlusNormal"/>
              <w:jc w:val="center"/>
            </w:pPr>
            <w:r>
              <w:t>3. Проведение мониторинга рекламных конструкций по соблюдению условий договора на установку и эксплуатацию рекламных конструкций.</w:t>
            </w:r>
          </w:p>
          <w:p w:rsidR="006F270B" w:rsidRDefault="006F270B">
            <w:pPr>
              <w:pStyle w:val="ConsPlusNormal"/>
              <w:jc w:val="center"/>
            </w:pPr>
            <w:r>
              <w:t>4. Формирование лота для проведения аукциона на установку и эксплуатацию рекламной конструкции.</w:t>
            </w:r>
          </w:p>
          <w:p w:rsidR="006F270B" w:rsidRDefault="006F270B">
            <w:pPr>
              <w:pStyle w:val="ConsPlusNormal"/>
              <w:jc w:val="center"/>
            </w:pPr>
            <w:r>
              <w:t xml:space="preserve">5. Заключение договора на установку и эксплуатацию рекламной конструкции (по результатам проведения аукциона) на земельных участках, зданиях или ином недвижимом имуществе, находящихся в муниципальной </w:t>
            </w:r>
            <w:r>
              <w:lastRenderedPageBreak/>
              <w:t>собственности либо на земельных участках, государственная собственность на которые не разграничена.</w:t>
            </w:r>
          </w:p>
          <w:p w:rsidR="006F270B" w:rsidRDefault="006F270B">
            <w:pPr>
              <w:pStyle w:val="ConsPlusNormal"/>
              <w:jc w:val="center"/>
            </w:pPr>
            <w:r>
              <w:t>6. Проведение консультирования субъектов малого и среднего предпринимательства по исполнению и применению действующего законодательства в сфере наружной рекламы</w:t>
            </w:r>
          </w:p>
        </w:tc>
        <w:tc>
          <w:tcPr>
            <w:tcW w:w="1816" w:type="dxa"/>
          </w:tcPr>
          <w:p w:rsidR="006F270B" w:rsidRDefault="006F270B">
            <w:pPr>
              <w:pStyle w:val="ConsPlusNormal"/>
              <w:jc w:val="center"/>
            </w:pPr>
            <w:r>
              <w:lastRenderedPageBreak/>
              <w:t>департамент экономики и промышленной политики администрации города Перми</w:t>
            </w:r>
          </w:p>
        </w:tc>
      </w:tr>
      <w:tr w:rsidR="006F270B">
        <w:tc>
          <w:tcPr>
            <w:tcW w:w="424" w:type="dxa"/>
            <w:vMerge w:val="restart"/>
          </w:tcPr>
          <w:p w:rsidR="006F270B" w:rsidRDefault="006F270B">
            <w:pPr>
              <w:pStyle w:val="ConsPlusNormal"/>
              <w:jc w:val="center"/>
              <w:outlineLvl w:val="1"/>
            </w:pPr>
            <w:r>
              <w:lastRenderedPageBreak/>
              <w:t>1.3</w:t>
            </w: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</w:pPr>
            <w:r>
              <w:t>Рынок нестационарной торговли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  <w:jc w:val="both"/>
            </w:pPr>
            <w:r>
              <w:t xml:space="preserve">Нестационарная торговля способствует увеличению количества предпринимателей и предложений особенных товаров и услуг, росту товарооборота местных товаропроизводителей. Размещение нестационарных торговых объектов на территории города Перми осуществляется в соответствии со </w:t>
            </w:r>
            <w:hyperlink r:id="rId8">
              <w:r>
                <w:rPr>
                  <w:color w:val="0000FF"/>
                </w:rPr>
                <w:t>Схемой</w:t>
              </w:r>
            </w:hyperlink>
            <w:r>
              <w:t xml:space="preserve"> размещения нестационарных торговых объектов на территории города Перми, утвержденной постановлением администрации города Перми от 02.08.2018 N 521. </w:t>
            </w:r>
            <w:proofErr w:type="gramStart"/>
            <w:r>
              <w:t>Кроме того, с целью создания благоприятных условий для продвижения и поддержки товаров (работ, услуг) местных производителей, развития здоровой конкурентной среды и активной поддержки малого и среднего предпринимательства (в том числе фермерского и личного подсобного хозяйства, садоводства, огородничества, животноводства), наиболее полного удовлетворения потребностей населения в товарах (работах, услугах) администрация города Перми реализует проекты, направленные на предоставление торговых мест в нестационарных торговых</w:t>
            </w:r>
            <w:proofErr w:type="gramEnd"/>
            <w:r>
              <w:t xml:space="preserve"> </w:t>
            </w:r>
            <w:proofErr w:type="gramStart"/>
            <w:r>
              <w:t>объектах</w:t>
            </w:r>
            <w:proofErr w:type="gramEnd"/>
            <w:r>
              <w:t xml:space="preserve"> (далее - НТО) субъектам малого и среднего предпринимательства, фермерам, самозанятым гражданам и физическим лицам, реализующим сельскохозяйственную продукцию, собранные дикоросы и изготовленные товары народных промыслов. По итогам 2020 года участникам торговли было предоставлено 987 торговых объектов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2098" w:type="dxa"/>
          </w:tcPr>
          <w:p w:rsidR="006F270B" w:rsidRDefault="006F270B">
            <w:pPr>
              <w:pStyle w:val="ConsPlusNormal"/>
            </w:pPr>
            <w:r>
              <w:t xml:space="preserve">Увеличение количества НТО к показателям 2020 года, нарастающим </w:t>
            </w:r>
            <w:r>
              <w:lastRenderedPageBreak/>
              <w:t>итогом, 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lastRenderedPageBreak/>
              <w:t>3%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4%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6%</w:t>
            </w:r>
          </w:p>
        </w:tc>
        <w:tc>
          <w:tcPr>
            <w:tcW w:w="2948" w:type="dxa"/>
          </w:tcPr>
          <w:p w:rsidR="006F270B" w:rsidRDefault="006F270B">
            <w:pPr>
              <w:pStyle w:val="ConsPlusNormal"/>
              <w:jc w:val="center"/>
            </w:pPr>
            <w:r>
              <w:t xml:space="preserve">1. Консультирование заинтересованных субъектов об открытии НТО либо получении торговых мест в </w:t>
            </w:r>
            <w:r>
              <w:lastRenderedPageBreak/>
              <w:t>НТО.</w:t>
            </w:r>
          </w:p>
          <w:p w:rsidR="006F270B" w:rsidRDefault="006F270B">
            <w:pPr>
              <w:pStyle w:val="ConsPlusNormal"/>
              <w:jc w:val="center"/>
            </w:pPr>
            <w:r>
              <w:t>2. Размещение информации для заинтересованных субъектов на информационных ресурсах администрации города Перми об открытии НТО либо получении торговых мест в НТО</w:t>
            </w:r>
          </w:p>
        </w:tc>
        <w:tc>
          <w:tcPr>
            <w:tcW w:w="1816" w:type="dxa"/>
          </w:tcPr>
          <w:p w:rsidR="006F270B" w:rsidRDefault="006F270B">
            <w:pPr>
              <w:pStyle w:val="ConsPlusNormal"/>
              <w:jc w:val="center"/>
            </w:pPr>
            <w:r>
              <w:lastRenderedPageBreak/>
              <w:t xml:space="preserve">департамент экономики и промышленной политики </w:t>
            </w:r>
            <w:r>
              <w:lastRenderedPageBreak/>
              <w:t>администрации города Перми</w:t>
            </w:r>
          </w:p>
        </w:tc>
      </w:tr>
      <w:tr w:rsidR="006F270B">
        <w:tc>
          <w:tcPr>
            <w:tcW w:w="424" w:type="dxa"/>
            <w:vMerge w:val="restart"/>
          </w:tcPr>
          <w:p w:rsidR="006F270B" w:rsidRDefault="006F270B">
            <w:pPr>
              <w:pStyle w:val="ConsPlusNormal"/>
              <w:outlineLvl w:val="1"/>
            </w:pPr>
            <w:r>
              <w:lastRenderedPageBreak/>
              <w:t>1.4</w:t>
            </w: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</w:pPr>
            <w:r>
              <w:t>Рынок ритуальных услуг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11678" w:type="dxa"/>
            <w:gridSpan w:val="7"/>
          </w:tcPr>
          <w:p w:rsidR="006F270B" w:rsidRDefault="006F270B">
            <w:pPr>
              <w:pStyle w:val="ConsPlusNormal"/>
              <w:jc w:val="both"/>
            </w:pPr>
            <w:r>
              <w:t>По состоянию на 01.01.2022 на территории города Перми размещены 17 мест погребения. Ритуальные услуги оказываются преимущественно организациями частной формы собственности.</w:t>
            </w:r>
          </w:p>
          <w:p w:rsidR="006F270B" w:rsidRDefault="006F270B">
            <w:pPr>
              <w:pStyle w:val="ConsPlusNormal"/>
              <w:jc w:val="both"/>
            </w:pPr>
            <w:r>
              <w:t>Для осуществления деятельности на рынке ритуальных услуг города Перми административные барьеры отсутствуют</w:t>
            </w:r>
          </w:p>
        </w:tc>
      </w:tr>
      <w:tr w:rsidR="006F270B">
        <w:tc>
          <w:tcPr>
            <w:tcW w:w="424" w:type="dxa"/>
            <w:vMerge/>
          </w:tcPr>
          <w:p w:rsidR="006F270B" w:rsidRDefault="006F270B">
            <w:pPr>
              <w:pStyle w:val="ConsPlusNormal"/>
            </w:pPr>
          </w:p>
        </w:tc>
        <w:tc>
          <w:tcPr>
            <w:tcW w:w="2098" w:type="dxa"/>
          </w:tcPr>
          <w:p w:rsidR="006F270B" w:rsidRDefault="006F270B">
            <w:pPr>
              <w:pStyle w:val="ConsPlusNormal"/>
            </w:pPr>
            <w:r>
              <w:t>Доля организация частной формы собственности в сфере ритуальных услуг, 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97%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97%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97%</w:t>
            </w:r>
          </w:p>
        </w:tc>
        <w:tc>
          <w:tcPr>
            <w:tcW w:w="1204" w:type="dxa"/>
          </w:tcPr>
          <w:p w:rsidR="006F270B" w:rsidRDefault="006F270B">
            <w:pPr>
              <w:pStyle w:val="ConsPlusNormal"/>
              <w:jc w:val="center"/>
            </w:pPr>
            <w:r>
              <w:t>97%</w:t>
            </w:r>
          </w:p>
        </w:tc>
        <w:tc>
          <w:tcPr>
            <w:tcW w:w="2948" w:type="dxa"/>
          </w:tcPr>
          <w:p w:rsidR="006F270B" w:rsidRDefault="006F270B">
            <w:pPr>
              <w:pStyle w:val="ConsPlusNormal"/>
              <w:jc w:val="center"/>
            </w:pPr>
            <w:r>
              <w:t xml:space="preserve">1. </w:t>
            </w:r>
            <w:proofErr w:type="gramStart"/>
            <w:r>
              <w:t>Оказание организационно-методической и консультационной поддержки организациям частной формы собственности, осуществляющим деятельность на рынке ритуальных услуг.</w:t>
            </w:r>
            <w:proofErr w:type="gramEnd"/>
          </w:p>
          <w:p w:rsidR="006F270B" w:rsidRDefault="006F270B">
            <w:pPr>
              <w:pStyle w:val="ConsPlusNormal"/>
              <w:jc w:val="center"/>
            </w:pPr>
            <w:r>
              <w:t>2. Информирование организаций частной формы собственности, осуществляющих деятельность на рынке ритуальных услуг, о возможных видах поддержки (федеральных, краевых, муниципальных)</w:t>
            </w:r>
          </w:p>
        </w:tc>
        <w:tc>
          <w:tcPr>
            <w:tcW w:w="1816" w:type="dxa"/>
          </w:tcPr>
          <w:p w:rsidR="006F270B" w:rsidRDefault="006F270B">
            <w:pPr>
              <w:pStyle w:val="ConsPlusNormal"/>
              <w:jc w:val="center"/>
            </w:pPr>
            <w:r>
              <w:t>департамент дорог и благоустройства администрации города Перми</w:t>
            </w:r>
          </w:p>
        </w:tc>
      </w:tr>
    </w:tbl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jc w:val="both"/>
      </w:pPr>
    </w:p>
    <w:p w:rsidR="006F270B" w:rsidRDefault="006F27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975" w:rsidRDefault="005D7975"/>
    <w:sectPr w:rsidR="005D7975" w:rsidSect="009A1F7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F270B"/>
    <w:rsid w:val="00044B6A"/>
    <w:rsid w:val="000708AF"/>
    <w:rsid w:val="00097CC6"/>
    <w:rsid w:val="00125922"/>
    <w:rsid w:val="00147027"/>
    <w:rsid w:val="00182110"/>
    <w:rsid w:val="001D5A81"/>
    <w:rsid w:val="002C1948"/>
    <w:rsid w:val="004303F7"/>
    <w:rsid w:val="004F4339"/>
    <w:rsid w:val="005402AB"/>
    <w:rsid w:val="005D7975"/>
    <w:rsid w:val="00621856"/>
    <w:rsid w:val="006E6759"/>
    <w:rsid w:val="006F270B"/>
    <w:rsid w:val="00954919"/>
    <w:rsid w:val="009E5B8A"/>
    <w:rsid w:val="00A44A88"/>
    <w:rsid w:val="00AF3758"/>
    <w:rsid w:val="00BE1517"/>
    <w:rsid w:val="00C022F1"/>
    <w:rsid w:val="00C04F3D"/>
    <w:rsid w:val="00C25741"/>
    <w:rsid w:val="00C36498"/>
    <w:rsid w:val="00D351B9"/>
    <w:rsid w:val="00DA4AFA"/>
    <w:rsid w:val="00DC6E2A"/>
    <w:rsid w:val="00E2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0B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270B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270B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1D84D9B6D7CBBF020F943EAA0F6570ADACE6FCD1D2A085A152678E350FC66DE5DA68DB113213B7C7F68AA0543D96D144F33340ED60BFDAF70D2F1B1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1D84D9B6D7CBBF020F943EAA0F6570ADACE6FCD1C29075E172678E350FC66DE5DA68DA31379377E7F76AB01568F3C52B1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1D84D9B6D7CBBF020F943EAA0F6570ADACE6FCD1C2B085C162678E350FC66DE5DA68DA31379377E7F76AB01568F3C52B1s9M" TargetMode="External"/><Relationship Id="rId5" Type="http://schemas.openxmlformats.org/officeDocument/2006/relationships/hyperlink" Target="consultantplus://offline/ref=9261D84D9B6D7CBBF020E74EFCCCAB5C01D39363CC1821570047202FBC00FA338C1DF8D4F057323A7E616AAB01B4s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kasumova-kv</dc:creator>
  <cp:lastModifiedBy>kasumova-kv</cp:lastModifiedBy>
  <cp:revision>1</cp:revision>
  <dcterms:created xsi:type="dcterms:W3CDTF">2023-02-20T12:44:00Z</dcterms:created>
  <dcterms:modified xsi:type="dcterms:W3CDTF">2023-02-20T12:44:00Z</dcterms:modified>
</cp:coreProperties>
</file>