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E" w:rsidRPr="00F0407E" w:rsidRDefault="0004747E" w:rsidP="00F0407E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7E">
        <w:rPr>
          <w:rFonts w:ascii="Times New Roman" w:hAnsi="Times New Roman" w:cs="Times New Roman"/>
          <w:sz w:val="28"/>
          <w:szCs w:val="28"/>
        </w:rPr>
        <w:t>В  Перми имеется  179  учреждений дошкольного образования:</w:t>
      </w:r>
    </w:p>
    <w:p w:rsidR="0004747E" w:rsidRPr="00F0407E" w:rsidRDefault="000474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Число детей в возрасте 1-6 лет, получающих дошкольную образовательную услугу в муниципальных образовательных учреждениях, по данным </w:t>
      </w:r>
      <w:proofErr w:type="spellStart"/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Пермьстата</w:t>
      </w:r>
      <w:proofErr w:type="spellEnd"/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50076. </w:t>
      </w:r>
    </w:p>
    <w:p w:rsidR="0004747E" w:rsidRPr="00F0407E" w:rsidRDefault="000474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Число детей, получающих дошкольную образовательную услугу не в муниципальных образовательных учреждениях – 12574</w:t>
      </w:r>
    </w:p>
    <w:p w:rsidR="0004747E" w:rsidRPr="00F0407E" w:rsidRDefault="000474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Число детей в возрасте 1-6 лет, не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составляет 5660.  Именно они в первую очередь являются потенциальными потребителями услуг теневого сектора. По результатам опроса доля домохозяйств, пользовавшихся за последние 12 месяцев услугами сферы образования, составила 34,1%.</w:t>
      </w:r>
    </w:p>
    <w:p w:rsidR="0004747E" w:rsidRPr="00F0407E" w:rsidRDefault="000474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Чаще, среди услуг, которые могут быть предложены потребителю субъектами малого предпринимательства,  использовались  развивающие занятия для детей (14,5%), около 5% пользовались услугами по уходу за детьми: няня – 2,5%, мини детский сад в квартире – 2,4%  (</w:t>
      </w:r>
      <w:r w:rsidR="00F040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1, </w:t>
      </w: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диаграмма 1)</w:t>
      </w:r>
    </w:p>
    <w:p w:rsidR="0004747E" w:rsidRPr="00F0407E" w:rsidRDefault="000474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Наиболее затратными из образовательных услуг для пермских потребителей являются услуги по уходу и присмотру за детьми.  На услуги няни в среднем по данным опроса потребителей тратится 67920 рублей в год, на услуги мини детского сада – 47 083 рублей в год, около 11</w:t>
      </w:r>
      <w:r w:rsidR="00F92CCD" w:rsidRPr="00F0407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000</w:t>
      </w:r>
      <w:r w:rsidR="00F92CCD" w:rsidRPr="00F0407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в год затрачивается на развивающие занятия для детей</w:t>
      </w: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040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1, </w:t>
      </w: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диаграмма 2)</w:t>
      </w:r>
      <w:r w:rsidR="00F040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747E" w:rsidRPr="00F0407E" w:rsidRDefault="000474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Средние  затраты домохозяйства в целом на услуги образования по результатам опроса потребителей составили 22392,67 рублей за год.</w:t>
      </w:r>
    </w:p>
    <w:p w:rsidR="0004747E" w:rsidRDefault="000474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учитывая количество домохозяйств </w:t>
      </w:r>
      <w:proofErr w:type="gramStart"/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. Перми, которое по результатам переписи населения составляет 286786 ед., средние затраты домохозяйства на услуги образования и долю потребления этих услуг в теневом секторе</w:t>
      </w:r>
      <w:r w:rsidRPr="00F0407E">
        <w:rPr>
          <w:rStyle w:val="a8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  <w:r w:rsidRPr="00F0407E">
        <w:rPr>
          <w:rFonts w:ascii="Times New Roman" w:eastAsia="Times New Roman" w:hAnsi="Times New Roman" w:cs="Times New Roman"/>
          <w:bCs/>
          <w:sz w:val="28"/>
          <w:szCs w:val="28"/>
        </w:rPr>
        <w:t>, можно рассчитать его объем в денежном выражении:</w:t>
      </w:r>
    </w:p>
    <w:p w:rsidR="00F0407E" w:rsidRPr="00F0407E" w:rsidRDefault="00F0407E" w:rsidP="00F0407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4"/>
        <w:gridCol w:w="3627"/>
      </w:tblGrid>
      <w:tr w:rsidR="0004747E" w:rsidTr="009806C3">
        <w:tc>
          <w:tcPr>
            <w:tcW w:w="6345" w:type="dxa"/>
          </w:tcPr>
          <w:p w:rsidR="0004747E" w:rsidRDefault="0004747E" w:rsidP="009806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домохозяйств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Перми</w:t>
            </w:r>
          </w:p>
        </w:tc>
        <w:tc>
          <w:tcPr>
            <w:tcW w:w="3793" w:type="dxa"/>
            <w:vAlign w:val="center"/>
          </w:tcPr>
          <w:p w:rsidR="0004747E" w:rsidRDefault="0004747E" w:rsidP="009806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286786 ед.</w:t>
            </w:r>
          </w:p>
        </w:tc>
      </w:tr>
      <w:tr w:rsidR="0004747E" w:rsidTr="009806C3">
        <w:tc>
          <w:tcPr>
            <w:tcW w:w="6345" w:type="dxa"/>
          </w:tcPr>
          <w:p w:rsidR="0004747E" w:rsidRDefault="0004747E" w:rsidP="009806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Средние затраты домохозяйства на услуги образования за год</w:t>
            </w:r>
          </w:p>
        </w:tc>
        <w:tc>
          <w:tcPr>
            <w:tcW w:w="3793" w:type="dxa"/>
            <w:vAlign w:val="center"/>
          </w:tcPr>
          <w:p w:rsidR="0004747E" w:rsidRDefault="0004747E" w:rsidP="009806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22392,7 руб.</w:t>
            </w:r>
          </w:p>
        </w:tc>
      </w:tr>
      <w:tr w:rsidR="0004747E" w:rsidTr="009806C3">
        <w:tc>
          <w:tcPr>
            <w:tcW w:w="6345" w:type="dxa"/>
          </w:tcPr>
          <w:p w:rsidR="0004747E" w:rsidRDefault="0004747E" w:rsidP="009806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домохозяйств, пользующихся услугами сферы образования</w:t>
            </w:r>
          </w:p>
        </w:tc>
        <w:tc>
          <w:tcPr>
            <w:tcW w:w="3793" w:type="dxa"/>
            <w:vAlign w:val="center"/>
          </w:tcPr>
          <w:p w:rsidR="0004747E" w:rsidRDefault="0004747E" w:rsidP="009806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97794 ед. (34,1% от общего числа домохозяйств)</w:t>
            </w:r>
          </w:p>
        </w:tc>
      </w:tr>
      <w:tr w:rsidR="0004747E" w:rsidTr="009806C3">
        <w:tc>
          <w:tcPr>
            <w:tcW w:w="6345" w:type="dxa"/>
          </w:tcPr>
          <w:p w:rsidR="0004747E" w:rsidRDefault="0004747E" w:rsidP="009806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домохозяйств, пользующихся услугами образования  в теневом секторе</w:t>
            </w:r>
          </w:p>
        </w:tc>
        <w:tc>
          <w:tcPr>
            <w:tcW w:w="3793" w:type="dxa"/>
            <w:vAlign w:val="center"/>
          </w:tcPr>
          <w:p w:rsidR="0004747E" w:rsidRDefault="0004747E" w:rsidP="009806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38237,5 ед. (39,1%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пользующихся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услугами)</w:t>
            </w:r>
          </w:p>
        </w:tc>
      </w:tr>
      <w:tr w:rsidR="0004747E" w:rsidTr="009806C3">
        <w:tc>
          <w:tcPr>
            <w:tcW w:w="6345" w:type="dxa"/>
          </w:tcPr>
          <w:p w:rsidR="0004747E" w:rsidRPr="00E60323" w:rsidRDefault="0004747E" w:rsidP="009806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Общие затраты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потребителей </w:t>
            </w:r>
            <w:r w:rsidRPr="00E60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услуги сферы образования в теневом секторе за год</w:t>
            </w:r>
          </w:p>
        </w:tc>
        <w:tc>
          <w:tcPr>
            <w:tcW w:w="3793" w:type="dxa"/>
            <w:vAlign w:val="center"/>
          </w:tcPr>
          <w:p w:rsidR="0004747E" w:rsidRPr="00E60323" w:rsidRDefault="0004747E" w:rsidP="00980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,24 млн.</w:t>
            </w:r>
            <w:r w:rsidRPr="00E60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</w:tbl>
    <w:p w:rsidR="00F0407E" w:rsidRPr="00F0407E" w:rsidRDefault="00F0407E" w:rsidP="00D14A9D">
      <w:pPr>
        <w:keepNext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0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407E" w:rsidRDefault="0004747E" w:rsidP="00F0407E">
      <w:pPr>
        <w:keepNext/>
        <w:spacing w:after="0" w:line="360" w:lineRule="auto"/>
        <w:ind w:firstLine="709"/>
        <w:jc w:val="both"/>
      </w:pPr>
      <w:r w:rsidRPr="0004747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60125" cy="4013860"/>
            <wp:effectExtent l="19050" t="0" r="0" b="0"/>
            <wp:docPr id="1" name="Объект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747E" w:rsidRPr="00F0407E" w:rsidRDefault="00F0407E" w:rsidP="00F0407E">
      <w:pPr>
        <w:pStyle w:val="a9"/>
        <w:jc w:val="center"/>
        <w:rPr>
          <w:rFonts w:ascii="Times New Roman" w:eastAsia="Times New Roman" w:hAnsi="Times New Roman" w:cs="Times New Roman"/>
          <w:bCs w:val="0"/>
          <w:color w:val="auto"/>
          <w:sz w:val="40"/>
          <w:szCs w:val="28"/>
        </w:rPr>
      </w:pPr>
      <w:r w:rsidRPr="00F0407E">
        <w:rPr>
          <w:rFonts w:ascii="Times New Roman" w:hAnsi="Times New Roman" w:cs="Times New Roman"/>
          <w:color w:val="auto"/>
          <w:sz w:val="24"/>
        </w:rPr>
        <w:t xml:space="preserve">Диаграмма </w:t>
      </w:r>
      <w:r w:rsidR="00E56DE6" w:rsidRPr="00F0407E">
        <w:rPr>
          <w:rFonts w:ascii="Times New Roman" w:hAnsi="Times New Roman" w:cs="Times New Roman"/>
          <w:color w:val="auto"/>
          <w:sz w:val="24"/>
        </w:rPr>
        <w:fldChar w:fldCharType="begin"/>
      </w:r>
      <w:r w:rsidRPr="00F0407E">
        <w:rPr>
          <w:rFonts w:ascii="Times New Roman" w:hAnsi="Times New Roman" w:cs="Times New Roman"/>
          <w:color w:val="auto"/>
          <w:sz w:val="24"/>
        </w:rPr>
        <w:instrText xml:space="preserve"> SEQ Рисунок \* ARABIC </w:instrText>
      </w:r>
      <w:r w:rsidR="00E56DE6" w:rsidRPr="00F0407E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1</w:t>
      </w:r>
      <w:r w:rsidR="00E56DE6" w:rsidRPr="00F0407E">
        <w:rPr>
          <w:rFonts w:ascii="Times New Roman" w:hAnsi="Times New Roman" w:cs="Times New Roman"/>
          <w:color w:val="auto"/>
          <w:sz w:val="24"/>
        </w:rPr>
        <w:fldChar w:fldCharType="end"/>
      </w:r>
    </w:p>
    <w:p w:rsidR="00F0407E" w:rsidRDefault="0004747E" w:rsidP="00F0407E">
      <w:pPr>
        <w:keepNext/>
      </w:pPr>
      <w:r w:rsidRPr="0004747E">
        <w:rPr>
          <w:noProof/>
          <w:lang w:eastAsia="ru-RU"/>
        </w:rPr>
        <w:drawing>
          <wp:inline distT="0" distB="0" distL="0" distR="0">
            <wp:extent cx="5011387" cy="4061361"/>
            <wp:effectExtent l="0" t="0" r="0" b="0"/>
            <wp:docPr id="8" name="Объект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747E" w:rsidRPr="00F0407E" w:rsidRDefault="00F0407E" w:rsidP="00F0407E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40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Диаграмма</w:t>
      </w:r>
      <w:r w:rsidRPr="00F040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6DE6" w:rsidRPr="00F0407E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0407E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="00E56DE6" w:rsidRPr="00F0407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0407E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E56DE6" w:rsidRPr="00F0407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sectPr w:rsidR="0004747E" w:rsidRPr="00F0407E" w:rsidSect="00D14A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89" w:rsidRDefault="00400E89" w:rsidP="0004747E">
      <w:pPr>
        <w:spacing w:after="0" w:line="240" w:lineRule="auto"/>
      </w:pPr>
      <w:r>
        <w:separator/>
      </w:r>
    </w:p>
  </w:endnote>
  <w:endnote w:type="continuationSeparator" w:id="0">
    <w:p w:rsidR="00400E89" w:rsidRDefault="00400E89" w:rsidP="0004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89" w:rsidRDefault="00400E89" w:rsidP="0004747E">
      <w:pPr>
        <w:spacing w:after="0" w:line="240" w:lineRule="auto"/>
      </w:pPr>
      <w:r>
        <w:separator/>
      </w:r>
    </w:p>
  </w:footnote>
  <w:footnote w:type="continuationSeparator" w:id="0">
    <w:p w:rsidR="00400E89" w:rsidRDefault="00400E89" w:rsidP="0004747E">
      <w:pPr>
        <w:spacing w:after="0" w:line="240" w:lineRule="auto"/>
      </w:pPr>
      <w:r>
        <w:continuationSeparator/>
      </w:r>
    </w:p>
  </w:footnote>
  <w:footnote w:id="1">
    <w:p w:rsidR="0004747E" w:rsidRPr="00F0407E" w:rsidRDefault="0004747E" w:rsidP="0004747E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293F07">
        <w:rPr>
          <w:rFonts w:ascii="Times New Roman" w:hAnsi="Times New Roman" w:cs="Times New Roman"/>
        </w:rPr>
        <w:t>Учитываются услуги, которые могут быть предоставлены субъектами малого предпринимательства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7E"/>
    <w:rsid w:val="0004747E"/>
    <w:rsid w:val="00052CAB"/>
    <w:rsid w:val="000815D9"/>
    <w:rsid w:val="0017371D"/>
    <w:rsid w:val="00400E89"/>
    <w:rsid w:val="00707C2E"/>
    <w:rsid w:val="00C47E7F"/>
    <w:rsid w:val="00D14A9D"/>
    <w:rsid w:val="00E56DE6"/>
    <w:rsid w:val="00E5783C"/>
    <w:rsid w:val="00F0407E"/>
    <w:rsid w:val="00F9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74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Footnote Text Char Знак,-++,Текст сноски-FN,Footnote Text Char Знак Знак,Знак1,Текст сноски Знак Знак Знак,Текст сноски Знак Знак Знак Знак,Знак11,Schriftart: 9 pt,Schriftart: 10 pt,Schriftart: 8 pt,Знак111,Текст сноски Знак1 Знак Знак"/>
    <w:basedOn w:val="a"/>
    <w:link w:val="a7"/>
    <w:uiPriority w:val="99"/>
    <w:unhideWhenUsed/>
    <w:rsid w:val="0004747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1,-++ Знак,Текст сноски-FN Знак,Footnote Text Char Знак Знак Знак,Знак1 Знак,Текст сноски Знак Знак Знак Знак1,Текст сноски Знак Знак Знак Знак Знак,Знак11 Знак,Schriftart: 9 pt Знак,Schriftart: 10 pt Знак"/>
    <w:basedOn w:val="a0"/>
    <w:link w:val="a6"/>
    <w:uiPriority w:val="99"/>
    <w:rsid w:val="0004747E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nhideWhenUsed/>
    <w:rsid w:val="0004747E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F040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110775840188424"/>
          <c:y val="2.8192255375332303E-2"/>
          <c:w val="0.47653904616097076"/>
          <c:h val="0.912114399571263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Среди всех опрошенных</c:v>
                </c:pt>
              </c:strCache>
            </c:strRef>
          </c:tx>
          <c:spPr>
            <a:solidFill>
              <a:srgbClr val="0070C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spPr>
              <a:solidFill>
                <a:srgbClr val="0070C0"/>
              </a:solidFill>
              <a:ln w="22036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0070C0"/>
              </a:solidFill>
              <a:ln w="22036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spPr>
              <a:solidFill>
                <a:srgbClr val="0070C0"/>
              </a:solidFill>
              <a:ln w="22036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0"/>
            <c:spPr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6.1804697156992577E-3"/>
                  <c:y val="-2.62033873124370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rgbClr val="5B9BD5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Развивающие занятия для детей</c:v>
                </c:pt>
                <c:pt idx="1">
                  <c:v>Репетитор</c:v>
                </c:pt>
                <c:pt idx="2">
                  <c:v>Платные образовательные курсы, семинары для взрослых</c:v>
                </c:pt>
                <c:pt idx="3">
                  <c:v>Платные образовательные оn-line курсы, вебинары, консультации</c:v>
                </c:pt>
                <c:pt idx="4">
                  <c:v>Частные занятия с логопедом</c:v>
                </c:pt>
                <c:pt idx="5">
                  <c:v>Платные образовательные курсы, семинары для детей</c:v>
                </c:pt>
                <c:pt idx="6">
                  <c:v>Услуги по написанию реферата, курсовой, дипломной работы</c:v>
                </c:pt>
                <c:pt idx="7">
                  <c:v>Няня</c:v>
                </c:pt>
                <c:pt idx="8">
                  <c:v>Частные занятия с психологом, нейропсихологом</c:v>
                </c:pt>
                <c:pt idx="9">
                  <c:v>Мини детский сад в квартире</c:v>
                </c:pt>
                <c:pt idx="10">
                  <c:v>Не пользовался ничем из перечисленного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0.14500000000000021</c:v>
                </c:pt>
                <c:pt idx="1">
                  <c:v>0.11200000000000003</c:v>
                </c:pt>
                <c:pt idx="2">
                  <c:v>0.11200000000000003</c:v>
                </c:pt>
                <c:pt idx="3">
                  <c:v>7.5000000000000067E-2</c:v>
                </c:pt>
                <c:pt idx="4">
                  <c:v>4.7000000000000111E-2</c:v>
                </c:pt>
                <c:pt idx="5">
                  <c:v>4.1000000000000002E-2</c:v>
                </c:pt>
                <c:pt idx="6">
                  <c:v>3.7000000000000026E-2</c:v>
                </c:pt>
                <c:pt idx="7">
                  <c:v>2.5000000000000015E-2</c:v>
                </c:pt>
                <c:pt idx="8">
                  <c:v>2.5000000000000015E-2</c:v>
                </c:pt>
                <c:pt idx="9">
                  <c:v>2.4000000000000014E-2</c:v>
                </c:pt>
                <c:pt idx="10">
                  <c:v>0.65900000000000325</c:v>
                </c:pt>
              </c:numCache>
            </c:numRef>
          </c:val>
        </c:ser>
        <c:gapWidth val="50"/>
        <c:axId val="202984832"/>
        <c:axId val="173531136"/>
      </c:barChart>
      <c:catAx>
        <c:axId val="20298483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531136"/>
        <c:crosses val="autoZero"/>
        <c:auto val="1"/>
        <c:lblAlgn val="ctr"/>
        <c:lblOffset val="100"/>
      </c:catAx>
      <c:valAx>
        <c:axId val="173531136"/>
        <c:scaling>
          <c:orientation val="minMax"/>
          <c:max val="0.70000000000000062"/>
          <c:min val="0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02984832"/>
        <c:crosses val="max"/>
        <c:crossBetween val="between"/>
      </c:valAx>
      <c:spPr>
        <a:noFill/>
        <a:ln w="23130">
          <a:noFill/>
        </a:ln>
      </c:spPr>
    </c:plotArea>
    <c:plotVisOnly val="1"/>
    <c:dispBlanksAs val="gap"/>
  </c:chart>
  <c:spPr>
    <a:ln w="12700"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70110021863662"/>
          <c:y val="3.5370723584649696E-2"/>
          <c:w val="0.4483439723860933"/>
          <c:h val="0.950235086113492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Среди всех опрошенных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spPr>
              <a:solidFill>
                <a:srgbClr val="F79646">
                  <a:lumMod val="75000"/>
                </a:srgbClr>
              </a:solidFill>
              <a:ln w="22036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spPr>
              <a:solidFill>
                <a:srgbClr val="F79646">
                  <a:lumMod val="75000"/>
                </a:srgbClr>
              </a:solidFill>
              <a:ln w="22036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2"/>
            <c:spPr>
              <a:solidFill>
                <a:srgbClr val="F79646">
                  <a:lumMod val="75000"/>
                </a:srgbClr>
              </a:solidFill>
              <a:ln w="22036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6.1804697156992612E-3"/>
                  <c:y val="-2.620338731243700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solidFill>
                <a:srgbClr val="F79646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Няня</c:v>
                </c:pt>
                <c:pt idx="1">
                  <c:v>Мини детский сад в квартире</c:v>
                </c:pt>
                <c:pt idx="2">
                  <c:v>Репетитор</c:v>
                </c:pt>
                <c:pt idx="3">
                  <c:v>Платные образовательные оn-line курсы, вебинары, консультации</c:v>
                </c:pt>
                <c:pt idx="4">
                  <c:v>Платные образовательные курсы, семинары для взрослых</c:v>
                </c:pt>
                <c:pt idx="5">
                  <c:v>Услуги по написанию реферата, курсовой, дипломной работы</c:v>
                </c:pt>
                <c:pt idx="6">
                  <c:v>Платные образовательные курсы, семинары для детей</c:v>
                </c:pt>
                <c:pt idx="7">
                  <c:v>Развивающие занятия для детей</c:v>
                </c:pt>
                <c:pt idx="8">
                  <c:v>Частные занятия с психологом, нейропсихологом</c:v>
                </c:pt>
                <c:pt idx="9">
                  <c:v>Частные занятия с логопедом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67920</c:v>
                </c:pt>
                <c:pt idx="1">
                  <c:v>47083.33</c:v>
                </c:pt>
                <c:pt idx="2">
                  <c:v>25144.68</c:v>
                </c:pt>
                <c:pt idx="3">
                  <c:v>17852.939999999937</c:v>
                </c:pt>
                <c:pt idx="4">
                  <c:v>13554.29</c:v>
                </c:pt>
                <c:pt idx="5">
                  <c:v>13343.75</c:v>
                </c:pt>
                <c:pt idx="6">
                  <c:v>11231.25</c:v>
                </c:pt>
                <c:pt idx="7">
                  <c:v>10908.18</c:v>
                </c:pt>
                <c:pt idx="8">
                  <c:v>10650</c:v>
                </c:pt>
                <c:pt idx="9">
                  <c:v>6238.24</c:v>
                </c:pt>
              </c:numCache>
            </c:numRef>
          </c:val>
        </c:ser>
        <c:gapWidth val="50"/>
        <c:axId val="173490560"/>
        <c:axId val="173492096"/>
      </c:barChart>
      <c:catAx>
        <c:axId val="17349056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492096"/>
        <c:crosses val="autoZero"/>
        <c:auto val="1"/>
        <c:lblAlgn val="ctr"/>
        <c:lblOffset val="100"/>
      </c:catAx>
      <c:valAx>
        <c:axId val="173492096"/>
        <c:scaling>
          <c:orientation val="minMax"/>
          <c:max val="70000"/>
          <c:min val="0"/>
        </c:scaling>
        <c:delete val="1"/>
        <c:axPos val="b"/>
        <c:majorGridlines/>
        <c:numFmt formatCode="0%" sourceLinked="0"/>
        <c:tickLblPos val="none"/>
        <c:crossAx val="173490560"/>
        <c:crosses val="max"/>
        <c:crossBetween val="between"/>
      </c:valAx>
      <c:spPr>
        <a:noFill/>
        <a:ln w="23130">
          <a:noFill/>
        </a:ln>
      </c:spPr>
    </c:plotArea>
    <c:plotVisOnly val="1"/>
    <c:dispBlanksAs val="gap"/>
  </c:chart>
  <c:spPr>
    <a:ln w="12700"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A01B-0BB4-4E8B-9EBE-ADA6142B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Тюфякина</dc:creator>
  <cp:keywords/>
  <dc:description/>
  <cp:lastModifiedBy>Тюфякина</cp:lastModifiedBy>
  <cp:revision>3</cp:revision>
  <dcterms:created xsi:type="dcterms:W3CDTF">2018-02-09T04:48:00Z</dcterms:created>
  <dcterms:modified xsi:type="dcterms:W3CDTF">2018-02-16T09:01:00Z</dcterms:modified>
</cp:coreProperties>
</file>